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诱导多能干细胞（IPS）技术</w:t>
      </w:r>
    </w:p>
    <w:p>
      <w:pPr>
        <w:jc w:val="right"/>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金楚怡 19301050081</w:t>
      </w:r>
    </w:p>
    <w:p>
      <w:pPr>
        <w:jc w:val="center"/>
        <w:rPr>
          <w:rFonts w:hint="eastAsia" w:asciiTheme="minorEastAsia" w:hAnsiTheme="minorEastAsia" w:eastAsiaTheme="minorEastAsia" w:cstheme="minorEastAsia"/>
          <w:b/>
          <w:bCs/>
          <w:sz w:val="21"/>
          <w:szCs w:val="21"/>
          <w:lang w:val="en-US" w:eastAsia="zh-CN"/>
        </w:rPr>
      </w:pPr>
    </w:p>
    <w:p>
      <w:pPr>
        <w:numPr>
          <w:ilvl w:val="0"/>
          <w:numId w:val="1"/>
        </w:numPr>
        <w:jc w:val="left"/>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技术原理及方法</w:t>
      </w:r>
    </w:p>
    <w:p>
      <w:pPr>
        <w:pStyle w:val="4"/>
        <w:keepNext w:val="0"/>
        <w:keepLines w:val="0"/>
        <w:pageBreakBefore w:val="0"/>
        <w:widowControl w:val="0"/>
        <w:kinsoku/>
        <w:wordWrap/>
        <w:overflowPunct/>
        <w:topLinePunct w:val="0"/>
        <w:autoSpaceDE/>
        <w:autoSpaceDN/>
        <w:bidi w:val="0"/>
        <w:adjustRightInd/>
        <w:snapToGrid/>
        <w:spacing w:line="284" w:lineRule="auto"/>
        <w:ind w:right="6"/>
        <w:jc w:val="both"/>
        <w:textAlignment w:val="auto"/>
        <w:rPr>
          <w:rFonts w:hint="default" w:eastAsia="宋体"/>
          <w:color w:val="231F20"/>
          <w:w w:val="105"/>
          <w:sz w:val="24"/>
          <w:szCs w:val="24"/>
          <w:lang w:val="en-US" w:eastAsia="zh-CN"/>
        </w:rPr>
      </w:pPr>
      <w:r>
        <w:rPr>
          <w:rFonts w:hint="eastAsia"/>
          <w:color w:val="231F20"/>
          <w:w w:val="105"/>
          <w:sz w:val="24"/>
          <w:szCs w:val="24"/>
          <w:lang w:val="en-US" w:eastAsia="zh-CN"/>
        </w:rPr>
        <w:t>1.1技术原理</w:t>
      </w:r>
    </w:p>
    <w:p>
      <w:pPr>
        <w:pStyle w:val="4"/>
        <w:keepNext w:val="0"/>
        <w:keepLines w:val="0"/>
        <w:pageBreakBefore w:val="0"/>
        <w:widowControl w:val="0"/>
        <w:kinsoku/>
        <w:wordWrap/>
        <w:overflowPunct/>
        <w:topLinePunct w:val="0"/>
        <w:autoSpaceDE/>
        <w:autoSpaceDN/>
        <w:bidi w:val="0"/>
        <w:adjustRightInd/>
        <w:snapToGrid/>
        <w:spacing w:line="284" w:lineRule="auto"/>
        <w:ind w:right="6" w:firstLine="440" w:firstLineChars="200"/>
        <w:jc w:val="both"/>
        <w:textAlignment w:val="auto"/>
        <w:rPr>
          <w:rFonts w:hint="eastAsia" w:asciiTheme="minorEastAsia" w:hAnsiTheme="minorEastAsia" w:eastAsiaTheme="minorEastAsia" w:cstheme="minorEastAsia"/>
          <w:color w:val="231F20"/>
          <w:w w:val="105"/>
          <w:sz w:val="11"/>
          <w:szCs w:val="11"/>
          <w:lang w:val="en-US" w:eastAsia="zh-CN"/>
        </w:rPr>
      </w:pPr>
      <w:r>
        <w:rPr>
          <w:rFonts w:hint="eastAsia" w:asciiTheme="minorEastAsia" w:hAnsiTheme="minorEastAsia" w:eastAsiaTheme="minorEastAsia" w:cstheme="minorEastAsia"/>
          <w:color w:val="231F20"/>
          <w:w w:val="105"/>
          <w:sz w:val="21"/>
          <w:szCs w:val="21"/>
        </w:rPr>
        <w:t>诱导性多能干细胞技术(简称iPS技术)指将已分化细胞重编程为一种重新获得干性的类似于胚胎干细胞形态的细胞新兴技术，它使用病毒载体将特定转录因子转入诱导细胞中进行重新编程，从而获得 iPSC, 使其再次获得多向分化及自我更新的能力。</w:t>
      </w:r>
      <w:r>
        <w:rPr>
          <w:rFonts w:hint="eastAsia" w:asciiTheme="minorEastAsia" w:hAnsiTheme="minorEastAsia" w:eastAsiaTheme="minorEastAsia" w:cstheme="minorEastAsia"/>
          <w:b/>
          <w:bCs/>
          <w:color w:val="231F20"/>
          <w:w w:val="105"/>
          <w:position w:val="11"/>
          <w:sz w:val="11"/>
          <w:szCs w:val="11"/>
          <w:lang w:val="en-US" w:eastAsia="zh-CN"/>
        </w:rPr>
        <w:t>[1]</w:t>
      </w:r>
    </w:p>
    <w:p>
      <w:pPr>
        <w:pStyle w:val="4"/>
        <w:keepNext w:val="0"/>
        <w:keepLines w:val="0"/>
        <w:pageBreakBefore w:val="0"/>
        <w:widowControl w:val="0"/>
        <w:kinsoku/>
        <w:wordWrap/>
        <w:overflowPunct/>
        <w:topLinePunct w:val="0"/>
        <w:autoSpaceDE/>
        <w:autoSpaceDN/>
        <w:bidi w:val="0"/>
        <w:adjustRightInd/>
        <w:snapToGrid/>
        <w:spacing w:line="284" w:lineRule="auto"/>
        <w:ind w:right="6" w:firstLine="440" w:firstLineChars="200"/>
        <w:jc w:val="both"/>
        <w:textAlignment w:val="auto"/>
        <w:rPr>
          <w:rFonts w:hint="eastAsia" w:asciiTheme="minorEastAsia" w:hAnsiTheme="minorEastAsia" w:eastAsiaTheme="minorEastAsia" w:cstheme="minorEastAsia"/>
          <w:color w:val="231F20"/>
          <w:w w:val="105"/>
          <w:lang w:eastAsia="zh-CN"/>
        </w:rPr>
      </w:pPr>
      <w:r>
        <w:rPr>
          <w:rFonts w:hint="eastAsia" w:asciiTheme="minorEastAsia" w:hAnsiTheme="minorEastAsia" w:eastAsiaTheme="minorEastAsia" w:cstheme="minorEastAsia"/>
          <w:color w:val="231F20"/>
          <w:w w:val="105"/>
          <w:sz w:val="21"/>
          <w:szCs w:val="21"/>
        </w:rPr>
        <w:t>通过特定基因的表达将体细胞重编程过程逆转为干细胞。“基因重新编排技术”,借助“逆转录酶病毒”为载体,即向皮肤细胞中植入一组4个基因(</w:t>
      </w:r>
      <w:r>
        <w:rPr>
          <w:rFonts w:hint="eastAsia" w:asciiTheme="minorEastAsia" w:hAnsiTheme="minorEastAsia" w:eastAsiaTheme="minorEastAsia" w:cstheme="minorEastAsia"/>
          <w:color w:val="231F20"/>
          <w:w w:val="105"/>
          <w:sz w:val="21"/>
          <w:szCs w:val="21"/>
          <w:lang w:val="en-US" w:eastAsia="zh-CN"/>
        </w:rPr>
        <w:t>O</w:t>
      </w:r>
      <w:r>
        <w:rPr>
          <w:rFonts w:hint="eastAsia" w:asciiTheme="minorEastAsia" w:hAnsiTheme="minorEastAsia" w:eastAsiaTheme="minorEastAsia" w:cstheme="minorEastAsia"/>
          <w:color w:val="231F20"/>
          <w:w w:val="105"/>
          <w:sz w:val="21"/>
          <w:szCs w:val="21"/>
        </w:rPr>
        <w:t>ct4,Sox2,c</w:t>
      </w:r>
      <w:r>
        <w:rPr>
          <w:rFonts w:hint="eastAsia" w:asciiTheme="minorEastAsia" w:hAnsiTheme="minorEastAsia" w:eastAsiaTheme="minorEastAsia" w:cstheme="minorEastAsia"/>
          <w:color w:val="231F20"/>
          <w:w w:val="105"/>
          <w:sz w:val="21"/>
          <w:szCs w:val="21"/>
          <w:lang w:val="en-US" w:eastAsia="zh-CN"/>
        </w:rPr>
        <w:t>-</w:t>
      </w:r>
      <w:r>
        <w:rPr>
          <w:rFonts w:hint="eastAsia" w:asciiTheme="minorEastAsia" w:hAnsiTheme="minorEastAsia" w:eastAsiaTheme="minorEastAsia" w:cstheme="minorEastAsia"/>
          <w:color w:val="231F20"/>
          <w:w w:val="105"/>
          <w:sz w:val="21"/>
          <w:szCs w:val="21"/>
        </w:rPr>
        <w:t>my</w:t>
      </w:r>
      <w:r>
        <w:rPr>
          <w:rFonts w:hint="eastAsia" w:asciiTheme="minorEastAsia" w:hAnsiTheme="minorEastAsia" w:eastAsiaTheme="minorEastAsia" w:cstheme="minorEastAsia"/>
          <w:color w:val="231F20"/>
          <w:w w:val="105"/>
          <w:sz w:val="21"/>
          <w:szCs w:val="21"/>
          <w:lang w:val="en-US" w:eastAsia="zh-CN"/>
        </w:rPr>
        <w:t>c</w:t>
      </w:r>
      <w:r>
        <w:rPr>
          <w:rFonts w:hint="eastAsia" w:asciiTheme="minorEastAsia" w:hAnsiTheme="minorEastAsia" w:eastAsiaTheme="minorEastAsia" w:cstheme="minorEastAsia"/>
          <w:color w:val="231F20"/>
          <w:w w:val="105"/>
          <w:sz w:val="21"/>
          <w:szCs w:val="21"/>
        </w:rPr>
        <w:t>和K</w:t>
      </w:r>
      <w:r>
        <w:rPr>
          <w:rFonts w:hint="eastAsia" w:asciiTheme="minorEastAsia" w:hAnsiTheme="minorEastAsia" w:eastAsiaTheme="minorEastAsia" w:cstheme="minorEastAsia"/>
          <w:color w:val="231F20"/>
          <w:w w:val="105"/>
          <w:sz w:val="21"/>
          <w:szCs w:val="21"/>
          <w:lang w:val="en-US" w:eastAsia="zh-CN"/>
        </w:rPr>
        <w:t>l</w:t>
      </w:r>
      <w:r>
        <w:rPr>
          <w:rFonts w:hint="eastAsia" w:asciiTheme="minorEastAsia" w:hAnsiTheme="minorEastAsia" w:eastAsiaTheme="minorEastAsia" w:cstheme="minorEastAsia"/>
          <w:color w:val="231F20"/>
          <w:w w:val="105"/>
          <w:sz w:val="21"/>
          <w:szCs w:val="21"/>
        </w:rPr>
        <w:t>f4),通过基因重新编排,使皮肤细胞具备胚胎干细胞的功能。这种被改造过的细胞称作“iPS细胞”。</w:t>
      </w:r>
    </w:p>
    <w:p>
      <w:pPr>
        <w:pStyle w:val="4"/>
        <w:spacing w:line="283" w:lineRule="auto"/>
        <w:ind w:right="3"/>
        <w:jc w:val="both"/>
        <w:rPr>
          <w:rFonts w:hint="eastAsia"/>
          <w:color w:val="231F20"/>
          <w:w w:val="105"/>
          <w:lang w:eastAsia="zh-CN"/>
        </w:rPr>
      </w:pPr>
      <w:r>
        <w:rPr>
          <w:rFonts w:hint="eastAsia"/>
          <w:color w:val="231F20"/>
          <w:w w:val="105"/>
          <w:lang w:eastAsia="zh-CN"/>
        </w:rPr>
        <w:drawing>
          <wp:inline distT="0" distB="0" distL="114300" distR="114300">
            <wp:extent cx="2557780" cy="2044700"/>
            <wp:effectExtent l="0" t="0" r="2540" b="12700"/>
            <wp:docPr id="1" name="图片 1" descr="捕获kd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捕获kdjb"/>
                    <pic:cNvPicPr>
                      <a:picLocks noChangeAspect="1"/>
                    </pic:cNvPicPr>
                  </pic:nvPicPr>
                  <pic:blipFill>
                    <a:blip r:embed="rId6"/>
                    <a:srcRect t="740" r="3150"/>
                    <a:stretch>
                      <a:fillRect/>
                    </a:stretch>
                  </pic:blipFill>
                  <pic:spPr>
                    <a:xfrm>
                      <a:off x="0" y="0"/>
                      <a:ext cx="2557780" cy="2044700"/>
                    </a:xfrm>
                    <a:prstGeom prst="rect">
                      <a:avLst/>
                    </a:prstGeom>
                  </pic:spPr>
                </pic:pic>
              </a:graphicData>
            </a:graphic>
          </wp:inline>
        </w:drawing>
      </w:r>
      <w:r>
        <w:rPr>
          <w:rFonts w:hint="eastAsia"/>
          <w:color w:val="231F20"/>
          <w:w w:val="105"/>
          <w:lang w:eastAsia="zh-CN"/>
        </w:rPr>
        <w:drawing>
          <wp:inline distT="0" distB="0" distL="114300" distR="114300">
            <wp:extent cx="2667635" cy="1948815"/>
            <wp:effectExtent l="0" t="0" r="14605" b="1905"/>
            <wp:docPr id="2" name="图片 2" descr="ajgc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jgcbl"/>
                    <pic:cNvPicPr>
                      <a:picLocks noChangeAspect="1"/>
                    </pic:cNvPicPr>
                  </pic:nvPicPr>
                  <pic:blipFill>
                    <a:blip r:embed="rId7"/>
                    <a:srcRect r="8972" b="-700"/>
                    <a:stretch>
                      <a:fillRect/>
                    </a:stretch>
                  </pic:blipFill>
                  <pic:spPr>
                    <a:xfrm>
                      <a:off x="0" y="0"/>
                      <a:ext cx="2667635" cy="1948815"/>
                    </a:xfrm>
                    <a:prstGeom prst="rect">
                      <a:avLst/>
                    </a:prstGeom>
                  </pic:spPr>
                </pic:pic>
              </a:graphicData>
            </a:graphic>
          </wp:inline>
        </w:drawing>
      </w:r>
    </w:p>
    <w:p>
      <w:pPr>
        <w:pStyle w:val="4"/>
        <w:spacing w:line="283" w:lineRule="auto"/>
        <w:ind w:right="3"/>
        <w:jc w:val="both"/>
        <w:rPr>
          <w:rFonts w:hint="eastAsia"/>
          <w:color w:val="231F20"/>
          <w:w w:val="105"/>
          <w:lang w:eastAsia="zh-CN"/>
        </w:rPr>
      </w:pPr>
    </w:p>
    <w:p>
      <w:pPr>
        <w:numPr>
          <w:ilvl w:val="0"/>
          <w:numId w:val="0"/>
        </w:numPr>
        <w:jc w:val="left"/>
        <w:rPr>
          <w:rFonts w:hint="default" w:asciiTheme="minorEastAsia" w:hAnsiTheme="minorEastAsia" w:cstheme="minorEastAsia"/>
          <w:b w:val="0"/>
          <w:bCs w:val="0"/>
          <w:sz w:val="21"/>
          <w:szCs w:val="21"/>
          <w:lang w:val="en-US" w:eastAsia="zh-CN"/>
        </w:rPr>
      </w:pPr>
      <w:r>
        <w:rPr>
          <w:rFonts w:hint="default" w:asciiTheme="minorEastAsia" w:hAnsiTheme="minorEastAsia" w:cstheme="minorEastAsia"/>
          <w:b w:val="0"/>
          <w:bCs w:val="0"/>
          <w:sz w:val="21"/>
          <w:szCs w:val="21"/>
          <w:lang w:val="en-US" w:eastAsia="zh-CN"/>
        </w:rPr>
        <w:drawing>
          <wp:inline distT="0" distB="0" distL="114300" distR="114300">
            <wp:extent cx="4683760" cy="2978150"/>
            <wp:effectExtent l="0" t="0" r="10160" b="8890"/>
            <wp:docPr id="3" name="图片 3"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timg"/>
                    <pic:cNvPicPr>
                      <a:picLocks noChangeAspect="1"/>
                    </pic:cNvPicPr>
                  </pic:nvPicPr>
                  <pic:blipFill>
                    <a:blip r:embed="rId8"/>
                    <a:stretch>
                      <a:fillRect/>
                    </a:stretch>
                  </pic:blipFill>
                  <pic:spPr>
                    <a:xfrm>
                      <a:off x="0" y="0"/>
                      <a:ext cx="4683760" cy="2978150"/>
                    </a:xfrm>
                    <a:prstGeom prst="rect">
                      <a:avLst/>
                    </a:prstGeom>
                  </pic:spPr>
                </pic:pic>
              </a:graphicData>
            </a:graphic>
          </wp:inline>
        </w:drawing>
      </w:r>
    </w:p>
    <w:p>
      <w:pPr>
        <w:numPr>
          <w:ilvl w:val="0"/>
          <w:numId w:val="0"/>
        </w:numPr>
        <w:jc w:val="left"/>
        <w:rPr>
          <w:rFonts w:hint="default" w:asciiTheme="minorEastAsia" w:hAnsiTheme="minorEastAsia" w:cstheme="minorEastAsia"/>
          <w:b w:val="0"/>
          <w:bCs w:val="0"/>
          <w:sz w:val="21"/>
          <w:szCs w:val="21"/>
          <w:lang w:val="en-US" w:eastAsia="zh-CN"/>
        </w:rPr>
      </w:pPr>
    </w:p>
    <w:p>
      <w:pPr>
        <w:numPr>
          <w:ilvl w:val="0"/>
          <w:numId w:val="0"/>
        </w:numPr>
        <w:jc w:val="left"/>
        <w:rPr>
          <w:rFonts w:hint="default"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1.2、诱导方法</w:t>
      </w:r>
    </w:p>
    <w:p>
      <w:pPr>
        <w:numPr>
          <w:ilvl w:val="0"/>
          <w:numId w:val="0"/>
        </w:numPr>
        <w:ind w:firstLine="420" w:firstLineChars="200"/>
        <w:jc w:val="left"/>
        <w:rPr>
          <w:rFonts w:hint="eastAsia"/>
          <w:b/>
          <w:bCs/>
          <w:color w:val="231F20"/>
          <w:w w:val="105"/>
          <w:position w:val="11"/>
          <w:sz w:val="11"/>
          <w:szCs w:val="11"/>
          <w:lang w:val="en-US" w:eastAsia="zh-CN"/>
        </w:rPr>
      </w:pPr>
      <w:r>
        <w:rPr>
          <w:rFonts w:hint="default" w:asciiTheme="minorEastAsia" w:hAnsiTheme="minorEastAsia" w:cstheme="minorEastAsia"/>
          <w:b w:val="0"/>
          <w:bCs w:val="0"/>
          <w:sz w:val="21"/>
          <w:szCs w:val="21"/>
          <w:lang w:val="en-US" w:eastAsia="zh-CN"/>
        </w:rPr>
        <w:t>根据载体的不同，目前诱导重编程的方法大致可分为整合型和非整合型。整合型重编程常利用逆转录病毒、慢病毒载体等实现基因导入、整合，实现重编程。非整合型重编程减少对染色体结构的改变，一定程度上降低了基因突变和癌变的可能。如腺病毒，仙台病毒，逆转录病毒，转座子，质粒， 微小环 DNA，重组蛋白，小分子化合物，RNAs等方式均可产生诱导多能干细胞。尤其，仙台病毒、游离质粒、非整合重编程因子等方法使用广泛。</w:t>
      </w:r>
      <w:r>
        <w:rPr>
          <w:rFonts w:hint="eastAsia"/>
          <w:b/>
          <w:bCs/>
          <w:color w:val="231F20"/>
          <w:w w:val="105"/>
          <w:position w:val="11"/>
          <w:sz w:val="11"/>
          <w:szCs w:val="11"/>
          <w:lang w:val="en-US" w:eastAsia="zh-CN"/>
        </w:rPr>
        <w:t>[2]</w:t>
      </w:r>
    </w:p>
    <w:p>
      <w:pPr>
        <w:pStyle w:val="3"/>
        <w:numPr>
          <w:ilvl w:val="0"/>
          <w:numId w:val="0"/>
        </w:numPr>
        <w:ind w:firstLine="220" w:firstLineChars="200"/>
        <w:jc w:val="left"/>
        <w:rPr>
          <w:rFonts w:hint="eastAsia" w:eastAsiaTheme="minorEastAsia"/>
          <w:b/>
          <w:bCs/>
          <w:color w:val="231F20"/>
          <w:w w:val="105"/>
          <w:position w:val="11"/>
          <w:sz w:val="11"/>
          <w:szCs w:val="11"/>
          <w:lang w:val="en-US" w:eastAsia="zh-CN"/>
        </w:rPr>
      </w:pPr>
      <w:r>
        <w:rPr>
          <w:sz w:val="11"/>
        </w:rPr>
        <mc:AlternateContent>
          <mc:Choice Requires="wps">
            <w:drawing>
              <wp:anchor distT="0" distB="0" distL="114300" distR="114300" simplePos="0" relativeHeight="251658240" behindDoc="0" locked="0" layoutInCell="1" allowOverlap="1">
                <wp:simplePos x="0" y="0"/>
                <wp:positionH relativeFrom="column">
                  <wp:posOffset>3211830</wp:posOffset>
                </wp:positionH>
                <wp:positionV relativeFrom="paragraph">
                  <wp:posOffset>129540</wp:posOffset>
                </wp:positionV>
                <wp:extent cx="1435100" cy="1858645"/>
                <wp:effectExtent l="4445" t="4445" r="8255" b="11430"/>
                <wp:wrapNone/>
                <wp:docPr id="6" name="文本框 6"/>
                <wp:cNvGraphicFramePr/>
                <a:graphic xmlns:a="http://schemas.openxmlformats.org/drawingml/2006/main">
                  <a:graphicData uri="http://schemas.microsoft.com/office/word/2010/wordprocessingShape">
                    <wps:wsp>
                      <wps:cNvSpPr txBox="1"/>
                      <wps:spPr>
                        <a:xfrm>
                          <a:off x="4577080" y="6122670"/>
                          <a:ext cx="1435100" cy="18586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r>
                              <w:rPr>
                                <w:rFonts w:hint="eastAsia"/>
                              </w:rPr>
                              <w:t>现有已知的诱导方式根据载体类型主要分为四类:</w:t>
                            </w:r>
                          </w:p>
                          <w:p>
                            <w:pPr>
                              <w:rPr>
                                <w:rFonts w:hint="eastAsia"/>
                              </w:rPr>
                            </w:pPr>
                            <w:r>
                              <w:rPr>
                                <w:rFonts w:hint="eastAsia"/>
                              </w:rPr>
                              <w:t>病毒介导型、</w:t>
                            </w:r>
                          </w:p>
                          <w:p>
                            <w:pPr>
                              <w:rPr>
                                <w:rFonts w:hint="eastAsia"/>
                              </w:rPr>
                            </w:pPr>
                            <w:r>
                              <w:rPr>
                                <w:rFonts w:hint="eastAsia"/>
                              </w:rPr>
                              <w:t>DNA 转化型、</w:t>
                            </w:r>
                          </w:p>
                          <w:p>
                            <w:pPr>
                              <w:rPr>
                                <w:rFonts w:hint="eastAsia"/>
                              </w:rPr>
                            </w:pPr>
                            <w:r>
                              <w:rPr>
                                <w:rFonts w:hint="eastAsia"/>
                              </w:rPr>
                              <w:t>RNA 转化型、</w:t>
                            </w:r>
                          </w:p>
                          <w:p>
                            <w:pPr>
                              <w:rPr>
                                <w:rFonts w:hint="eastAsia"/>
                              </w:rPr>
                            </w:pPr>
                            <w:r>
                              <w:rPr>
                                <w:rFonts w:hint="eastAsia"/>
                              </w:rPr>
                              <w:t>蛋白质转化型</w:t>
                            </w:r>
                          </w:p>
                          <w:p>
                            <w:r>
                              <w:rPr>
                                <w:rFonts w:hint="eastAsia"/>
                              </w:rPr>
                              <w:t>( 表 1)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9pt;margin-top:10.2pt;height:146.35pt;width:113pt;z-index:251658240;mso-width-relative:page;mso-height-relative:page;" fillcolor="#FFFFFF [3201]" filled="t" stroked="t" coordsize="21600,21600" o:gfxdata="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oP52I1gAAAAoBAAAPAAAAAAAAAAEAIAAA&#10;ACIAAABkcnMvZG93bnJldi54bWxQSwECFAAUAAAACACHTuJAbNmFgkcCAAB2BAAADgAAAAAAAAAB&#10;ACAAAAAlAQAAZHJzL2Uyb0RvYy54bWxQSwUGAAAAAAYABgBZAQAA3gUAAAAA&#10;">
                <v:fill on="t" focussize="0,0"/>
                <v:stroke weight="0.5pt" color="#000000 [3204]" joinstyle="round"/>
                <v:imagedata o:title=""/>
                <o:lock v:ext="edit" aspectratio="f"/>
                <v:textbox>
                  <w:txbxContent>
                    <w:p>
                      <w:pPr>
                        <w:rPr>
                          <w:rFonts w:hint="eastAsia"/>
                        </w:rPr>
                      </w:pPr>
                      <w:r>
                        <w:rPr>
                          <w:rFonts w:hint="eastAsia"/>
                        </w:rPr>
                        <w:t>现有已知的诱导方式根据载体类型主要分为四类:</w:t>
                      </w:r>
                    </w:p>
                    <w:p>
                      <w:pPr>
                        <w:rPr>
                          <w:rFonts w:hint="eastAsia"/>
                        </w:rPr>
                      </w:pPr>
                      <w:r>
                        <w:rPr>
                          <w:rFonts w:hint="eastAsia"/>
                        </w:rPr>
                        <w:t>病毒介导型、</w:t>
                      </w:r>
                    </w:p>
                    <w:p>
                      <w:pPr>
                        <w:rPr>
                          <w:rFonts w:hint="eastAsia"/>
                        </w:rPr>
                      </w:pPr>
                      <w:r>
                        <w:rPr>
                          <w:rFonts w:hint="eastAsia"/>
                        </w:rPr>
                        <w:t>DNA 转化型、</w:t>
                      </w:r>
                    </w:p>
                    <w:p>
                      <w:pPr>
                        <w:rPr>
                          <w:rFonts w:hint="eastAsia"/>
                        </w:rPr>
                      </w:pPr>
                      <w:r>
                        <w:rPr>
                          <w:rFonts w:hint="eastAsia"/>
                        </w:rPr>
                        <w:t>RNA 转化型、</w:t>
                      </w:r>
                    </w:p>
                    <w:p>
                      <w:pPr>
                        <w:rPr>
                          <w:rFonts w:hint="eastAsia"/>
                        </w:rPr>
                      </w:pPr>
                      <w:r>
                        <w:rPr>
                          <w:rFonts w:hint="eastAsia"/>
                        </w:rPr>
                        <w:t>蛋白质转化型</w:t>
                      </w:r>
                    </w:p>
                    <w:p>
                      <w:r>
                        <w:rPr>
                          <w:rFonts w:hint="eastAsia"/>
                        </w:rPr>
                        <w:t>( 表 1) 。</w:t>
                      </w:r>
                    </w:p>
                  </w:txbxContent>
                </v:textbox>
              </v:shape>
            </w:pict>
          </mc:Fallback>
        </mc:AlternateContent>
      </w:r>
      <w:r>
        <w:rPr>
          <w:rFonts w:hint="default"/>
          <w:b/>
          <w:bCs/>
          <w:color w:val="231F20"/>
          <w:w w:val="105"/>
          <w:position w:val="11"/>
          <w:sz w:val="11"/>
          <w:szCs w:val="11"/>
          <w:lang w:val="en-US" w:eastAsia="zh-CN"/>
        </w:rPr>
        <w:drawing>
          <wp:inline distT="0" distB="0" distL="114300" distR="114300">
            <wp:extent cx="2785745" cy="2623185"/>
            <wp:effectExtent l="0" t="0" r="3175" b="13335"/>
            <wp:docPr id="5" name="图片 5" descr="ca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adv"/>
                    <pic:cNvPicPr>
                      <a:picLocks noChangeAspect="1"/>
                    </pic:cNvPicPr>
                  </pic:nvPicPr>
                  <pic:blipFill>
                    <a:blip r:embed="rId9"/>
                    <a:srcRect t="1212"/>
                    <a:stretch>
                      <a:fillRect/>
                    </a:stretch>
                  </pic:blipFill>
                  <pic:spPr>
                    <a:xfrm>
                      <a:off x="0" y="0"/>
                      <a:ext cx="2785745" cy="2623185"/>
                    </a:xfrm>
                    <a:prstGeom prst="rect">
                      <a:avLst/>
                    </a:prstGeom>
                  </pic:spPr>
                </pic:pic>
              </a:graphicData>
            </a:graphic>
          </wp:inline>
        </w:drawing>
      </w:r>
      <w:r>
        <w:t xml:space="preserve">表 </w:t>
      </w:r>
      <w:r>
        <w:fldChar w:fldCharType="begin"/>
      </w:r>
      <w:r>
        <w:instrText xml:space="preserve"> SEQ 表 \* ARABIC </w:instrText>
      </w:r>
      <w:r>
        <w:fldChar w:fldCharType="separate"/>
      </w:r>
      <w:r>
        <w:t>1</w:t>
      </w:r>
      <w:r>
        <w:fldChar w:fldCharType="end"/>
      </w:r>
      <w:r>
        <w:rPr>
          <w:rFonts w:hint="eastAsia"/>
          <w:lang w:eastAsia="zh-CN"/>
        </w:rPr>
        <w:t>人类IPSC诱导方式</w:t>
      </w:r>
      <w:r>
        <w:rPr>
          <w:rFonts w:hint="eastAsia"/>
          <w:b/>
          <w:bCs/>
          <w:color w:val="231F20"/>
          <w:w w:val="105"/>
          <w:position w:val="11"/>
          <w:sz w:val="11"/>
          <w:szCs w:val="11"/>
          <w:lang w:val="en-US" w:eastAsia="zh-CN"/>
        </w:rPr>
        <w:t>[3]</w:t>
      </w:r>
    </w:p>
    <w:p>
      <w:pPr>
        <w:numPr>
          <w:ilvl w:val="0"/>
          <w:numId w:val="0"/>
        </w:numPr>
        <w:ind w:firstLine="231" w:firstLineChars="200"/>
        <w:jc w:val="left"/>
        <w:rPr>
          <w:rFonts w:hint="default"/>
          <w:b/>
          <w:bCs/>
          <w:color w:val="231F20"/>
          <w:w w:val="105"/>
          <w:position w:val="11"/>
          <w:sz w:val="11"/>
          <w:szCs w:val="11"/>
          <w:lang w:val="en-US" w:eastAsia="zh-CN"/>
        </w:rPr>
      </w:pPr>
    </w:p>
    <w:p>
      <w:pPr>
        <w:numPr>
          <w:ilvl w:val="0"/>
          <w:numId w:val="0"/>
        </w:numPr>
        <w:ind w:firstLine="420" w:firstLineChars="200"/>
        <w:jc w:val="left"/>
        <w:rPr>
          <w:rFonts w:hint="eastAsia"/>
          <w:b/>
          <w:bCs/>
          <w:color w:val="231F20"/>
          <w:w w:val="105"/>
          <w:position w:val="11"/>
          <w:sz w:val="11"/>
          <w:szCs w:val="11"/>
          <w:lang w:val="en-US" w:eastAsia="zh-CN"/>
        </w:rPr>
      </w:pPr>
      <w:r>
        <w:rPr>
          <w:rFonts w:hint="default" w:asciiTheme="minorEastAsia" w:hAnsiTheme="minorEastAsia" w:cstheme="minorEastAsia"/>
          <w:b w:val="0"/>
          <w:bCs w:val="0"/>
          <w:sz w:val="21"/>
          <w:szCs w:val="21"/>
          <w:lang w:val="en-US" w:eastAsia="zh-CN"/>
        </w:rPr>
        <w:t>Matthias等人利用非整合的腺病毒瞬时表达 Oct4、Sox2、Klf4 和 c-Myc 基因，将小鼠成纤维细胞和肝细胞重编程为诱导多能干细胞（iPSC），研究发现这些细胞具有 DNA 去甲基化、内源多能基因表达、可形成畸胎瘤等特点。Keisuke等研究获得了没有病毒载体介导的小鼠 iPSC，他们利用小鼠胚胎成纤维细胞重复转染两种表达质粒 （一种是含有 Oct3 / 4，SOX2，KLF4 因子的 cDNA，另一种含有 c-myc 因子的 cDNA），产生没有质粒整合的iPSC，发现此 iPSCs 诱导的畸胎瘤在移植到小鼠体内后形成嵌合体。近些年来，为了提高iPSC的安全性，许多实验室采用了降低外源基因随机整合的方法。2014 年Norikatsu 等用成熟双链 RNA (miRNAs) miR-200c 结合mir-369 和 miR-302 家族将小鼠和人类细胞重编程为诱导多能干细胞，这种重新编程方法不需要基于载体的基因转移，因此它在生物医学研究和再生医学中具有巨大的潜力。此外，hou等人经过筛选了 10000 个小分子化合物，筛选出FSK2-Me-5HT 和 D4476 可以作为重编程因子 Oct4 的替代物，使用 VC6TFZ、VPA、E616452、CHIR、D4476 FSK、2-Me-5HT 七个小分子化合物的组合使从小鼠体细胞重编程为多能性干细胞的效率高达 0.2%，化学诱导的多潜能干细胞（cipscs）与胚胎干细胞（ESC）的基因表达谱、表观遗传状态、潜在的分化能力和种系传递等方面类似，这说明小分子化合物也可以用来将体细胞重编程至多能性状态。</w:t>
      </w:r>
      <w:r>
        <w:rPr>
          <w:rFonts w:hint="eastAsia"/>
          <w:b/>
          <w:bCs/>
          <w:color w:val="231F20"/>
          <w:w w:val="105"/>
          <w:position w:val="11"/>
          <w:sz w:val="11"/>
          <w:szCs w:val="11"/>
          <w:lang w:val="en-US" w:eastAsia="zh-CN"/>
        </w:rPr>
        <w:t>[2]</w:t>
      </w:r>
    </w:p>
    <w:p>
      <w:pPr>
        <w:numPr>
          <w:ilvl w:val="0"/>
          <w:numId w:val="0"/>
        </w:numPr>
        <w:ind w:firstLine="231" w:firstLineChars="200"/>
        <w:jc w:val="left"/>
        <w:rPr>
          <w:rFonts w:hint="default"/>
          <w:b/>
          <w:bCs/>
          <w:color w:val="231F20"/>
          <w:w w:val="105"/>
          <w:position w:val="11"/>
          <w:sz w:val="11"/>
          <w:szCs w:val="11"/>
          <w:lang w:val="en-US" w:eastAsia="zh-CN"/>
        </w:rPr>
      </w:pPr>
    </w:p>
    <w:p>
      <w:pPr>
        <w:numPr>
          <w:ilvl w:val="0"/>
          <w:numId w:val="0"/>
        </w:numPr>
        <w:jc w:val="left"/>
        <w:rPr>
          <w:rFonts w:hint="default" w:asciiTheme="minorEastAsia" w:hAnsiTheme="minorEastAsia" w:cstheme="minorEastAsia"/>
          <w:b w:val="0"/>
          <w:bCs w:val="0"/>
          <w:sz w:val="21"/>
          <w:szCs w:val="21"/>
          <w:lang w:val="en-US" w:eastAsia="zh-CN"/>
        </w:rPr>
      </w:pPr>
    </w:p>
    <w:p>
      <w:pPr>
        <w:numPr>
          <w:ilvl w:val="0"/>
          <w:numId w:val="0"/>
        </w:numPr>
        <w:jc w:val="left"/>
        <w:rPr>
          <w:rFonts w:hint="default" w:asciiTheme="minorEastAsia" w:hAnsiTheme="minorEastAsia" w:cstheme="minorEastAsia"/>
          <w:b w:val="0"/>
          <w:bCs w:val="0"/>
          <w:sz w:val="21"/>
          <w:szCs w:val="21"/>
          <w:lang w:val="en-US" w:eastAsia="zh-CN"/>
        </w:rPr>
      </w:pPr>
    </w:p>
    <w:p>
      <w:pPr>
        <w:numPr>
          <w:ilvl w:val="0"/>
          <w:numId w:val="1"/>
        </w:numPr>
        <w:ind w:left="0" w:leftChars="0" w:firstLine="0" w:firstLineChars="0"/>
        <w:jc w:val="left"/>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bCs/>
          <w:sz w:val="28"/>
          <w:szCs w:val="28"/>
          <w:lang w:val="en-US" w:eastAsia="zh-CN"/>
        </w:rPr>
        <w:t>技术应用</w:t>
      </w:r>
    </w:p>
    <w:p>
      <w:pPr>
        <w:numPr>
          <w:ilvl w:val="0"/>
          <w:numId w:val="0"/>
        </w:numPr>
        <w:jc w:val="left"/>
        <w:rPr>
          <w:rFonts w:hint="default"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2.1、IPSC在疾病建模中的应用</w:t>
      </w:r>
      <w:r>
        <w:rPr>
          <w:rFonts w:hint="eastAsia" w:asciiTheme="minorAscii" w:hAnsiTheme="minorEastAsia" w:eastAsiaTheme="minorEastAsia" w:cstheme="minorEastAsia"/>
          <w:b/>
          <w:bCs/>
          <w:position w:val="11"/>
          <w:sz w:val="11"/>
          <w:szCs w:val="11"/>
          <w:lang w:val="en-US" w:eastAsia="zh-CN"/>
        </w:rPr>
        <w:t>[</w:t>
      </w:r>
      <w:r>
        <w:rPr>
          <w:rFonts w:hint="eastAsia" w:asciiTheme="minorAscii" w:hAnsiTheme="minorEastAsia" w:cstheme="minorEastAsia"/>
          <w:b/>
          <w:bCs/>
          <w:position w:val="11"/>
          <w:sz w:val="11"/>
          <w:szCs w:val="11"/>
          <w:lang w:val="en-US" w:eastAsia="zh-CN"/>
        </w:rPr>
        <w:t>4</w:t>
      </w:r>
      <w:r>
        <w:rPr>
          <w:rFonts w:hint="eastAsia" w:asciiTheme="minorAscii" w:hAnsiTheme="minorEastAsia" w:eastAsiaTheme="minorEastAsia" w:cstheme="minorEastAsia"/>
          <w:b/>
          <w:bCs/>
          <w:position w:val="11"/>
          <w:sz w:val="11"/>
          <w:szCs w:val="11"/>
          <w:lang w:val="en-US" w:eastAsia="zh-CN"/>
        </w:rPr>
        <w:t>]</w:t>
      </w:r>
    </w:p>
    <w:p>
      <w:pPr>
        <w:numPr>
          <w:ilvl w:val="0"/>
          <w:numId w:val="0"/>
        </w:numPr>
        <w:ind w:firstLine="420" w:firstLineChars="200"/>
        <w:jc w:val="left"/>
        <w:rPr>
          <w:rFonts w:hint="default" w:asciiTheme="minorEastAsia" w:hAnsiTheme="minorEastAsia" w:cstheme="minorEastAsia"/>
          <w:b w:val="0"/>
          <w:bCs w:val="0"/>
          <w:sz w:val="21"/>
          <w:szCs w:val="21"/>
          <w:lang w:val="en-US" w:eastAsia="zh-CN"/>
        </w:rPr>
      </w:pPr>
      <w:r>
        <w:rPr>
          <w:rFonts w:hint="default" w:asciiTheme="minorEastAsia" w:hAnsiTheme="minorEastAsia" w:cstheme="minorEastAsia"/>
          <w:b w:val="0"/>
          <w:bCs w:val="0"/>
          <w:sz w:val="21"/>
          <w:szCs w:val="21"/>
          <w:lang w:val="en-US" w:eastAsia="zh-CN"/>
        </w:rPr>
        <w:t>在疾病建模应用中，iPSC 为理解人类疾病的遗传基础提供了一种非常宝贵的模型系统。利用诱导多能干细胞建立疾病模型的优势在于：其携带与病人完全相同的遗传物质，具有与胚胎干细胞类似的克隆形成能力、自我更新和多能分化潜能，而且克服了临床上特定细胞取材在伦理和技术方面的限制。目前，最常使用的动物模型不但涉及伦理问题且与人类存在遗传背景、生理及药物代谢等方面的差异，因此难以用来充分阐明人类疾病背后的详细分子机制。iPSC技术代表了一种新方法，它们可以扩增到非常大的数量并直接分化生成各种疾病的患者特异性组织模型，并且可针对不同患者建立特异性 iPSC疾病模型，筛选出具有针对性的药物，真正实现个体化治疗。目前，神经系统疾病、心血管疾病、呼吸系统疾病、血液系统、泌尿系统疾病、肝病和眼科疾病等许多疾病特异性的 iPSC细胞系已被成功建立，这些细胞可用于临床疾病治疗，药物开发和基础研究。LANG 等对携带帕金森疾病风险变异的 iPSC诱导的多巴胺神经元进行高分辨率单细胞转录组学分析，重建了由基因表达改变导致的内质网应激反应轴，并发现去乙酰化酶 4 是帕金森疾病进展的上游调节因子。人iPSC分化的心肌细胞与目前的原代心肌细胞模型相比，心肌细胞形态结构和收缩力没有显著差异，并对大多数作用于心脏的药物有类似反应。SUGIMURA 等首次利用 7 个转录因子，将成体细胞来源的 iPSC 转化为造血干细胞，其与天然造血干细胞具有十分相似的特性。这种造血干细胞在模拟人类遗传性血液病，以及评估基因治疗载体或药物恢复造血功能的疗效方面具有广阔的前景。为了了解乙型肝炎病毒（hepatitis B virus，HBV）的感染机制并开发有效的抗 HBV药物，SAKURAI等建立一个iPSC诱导来源的肝细胞样细胞（iPSC cell⁃derived hepatocyte⁃like cells，iPS⁃HLCs）模型。在接种 HBV 后，iPS⁃HLCs中 HBV 蛋白和病毒 RNA 表达显著升高，抗 HBV 药物恩替卡韦等能显著抑制iPS⁃HLCs中HBV 的感染，这说明iPS⁃HLCs可以模拟体外 HBV 感染状态。SA 等将诱导多能干细胞分化的内皮细胞、特发性肺动脉高压患者的肺动脉内皮细胞与正常对照组进行比较，其粘附、迁移、存活和管形成能力均有相似程度的降低，BMPR2 和下游信号通路及胶原蛋</w:t>
      </w:r>
      <w:r>
        <w:rPr>
          <w:rFonts w:hint="eastAsia" w:asciiTheme="minorEastAsia" w:hAnsiTheme="minorEastAsia" w:cstheme="minorEastAsia"/>
          <w:b w:val="0"/>
          <w:bCs w:val="0"/>
          <w:sz w:val="21"/>
          <w:szCs w:val="21"/>
          <w:lang w:val="en-US" w:eastAsia="zh-CN"/>
        </w:rPr>
        <w:t>白</w:t>
      </w:r>
      <w:r>
        <w:rPr>
          <w:rFonts w:hint="default" w:asciiTheme="minorEastAsia" w:hAnsiTheme="minorEastAsia" w:cstheme="minorEastAsia"/>
          <w:b w:val="0"/>
          <w:bCs w:val="0"/>
          <w:sz w:val="21"/>
          <w:szCs w:val="21"/>
          <w:lang w:val="en-US" w:eastAsia="zh-CN"/>
        </w:rPr>
        <w:t>IV表达均降低，且两者对弹性蛋</w:t>
      </w:r>
      <w:r>
        <w:rPr>
          <w:rFonts w:hint="eastAsia" w:asciiTheme="minorEastAsia" w:hAnsiTheme="minorEastAsia" w:cstheme="minorEastAsia"/>
          <w:b w:val="0"/>
          <w:bCs w:val="0"/>
          <w:sz w:val="21"/>
          <w:szCs w:val="21"/>
          <w:lang w:val="en-US" w:eastAsia="zh-CN"/>
        </w:rPr>
        <w:t>白</w:t>
      </w:r>
      <w:r>
        <w:rPr>
          <w:rFonts w:hint="default" w:asciiTheme="minorEastAsia" w:hAnsiTheme="minorEastAsia" w:cstheme="minorEastAsia"/>
          <w:b w:val="0"/>
          <w:bCs w:val="0"/>
          <w:sz w:val="21"/>
          <w:szCs w:val="21"/>
          <w:lang w:val="en-US" w:eastAsia="zh-CN"/>
        </w:rPr>
        <w:t>酶抑制剂ElafinElafin和免疫抑制剂FK506的反应类似，这些研究表明诱导多能干细胞来源的内皮细胞为特发性或遗传性肺动脉高压病后续治疗药物筛查提供了一种良好的供体。</w:t>
      </w:r>
    </w:p>
    <w:p>
      <w:pPr>
        <w:numPr>
          <w:ilvl w:val="0"/>
          <w:numId w:val="0"/>
        </w:numPr>
        <w:jc w:val="left"/>
        <w:rPr>
          <w:rFonts w:hint="default" w:asciiTheme="minorEastAsia" w:hAnsiTheme="minorEastAsia" w:cstheme="minorEastAsia"/>
          <w:b w:val="0"/>
          <w:bCs w:val="0"/>
          <w:sz w:val="21"/>
          <w:szCs w:val="21"/>
          <w:lang w:val="en-US" w:eastAsia="zh-CN"/>
        </w:rPr>
      </w:pPr>
    </w:p>
    <w:p>
      <w:pPr>
        <w:widowControl w:val="0"/>
        <w:numPr>
          <w:ilvl w:val="0"/>
          <w:numId w:val="0"/>
        </w:numPr>
        <w:ind w:leftChars="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2.2、IPSC的干细胞疗法</w:t>
      </w:r>
      <w:r>
        <w:rPr>
          <w:rFonts w:hint="eastAsia" w:asciiTheme="minorAscii" w:hAnsiTheme="minorEastAsia" w:eastAsiaTheme="minorEastAsia" w:cstheme="minorEastAsia"/>
          <w:b/>
          <w:bCs/>
          <w:position w:val="11"/>
          <w:sz w:val="11"/>
          <w:szCs w:val="11"/>
          <w:lang w:val="en-US" w:eastAsia="zh-CN"/>
        </w:rPr>
        <w:t>[</w:t>
      </w:r>
      <w:r>
        <w:rPr>
          <w:rFonts w:hint="eastAsia" w:asciiTheme="minorAscii" w:hAnsiTheme="minorEastAsia" w:cstheme="minorEastAsia"/>
          <w:b/>
          <w:bCs/>
          <w:position w:val="11"/>
          <w:sz w:val="11"/>
          <w:szCs w:val="11"/>
          <w:lang w:val="en-US" w:eastAsia="zh-CN"/>
        </w:rPr>
        <w:t>4</w:t>
      </w:r>
      <w:r>
        <w:rPr>
          <w:rFonts w:hint="eastAsia" w:asciiTheme="minorAscii" w:hAnsiTheme="minorEastAsia" w:eastAsiaTheme="minorEastAsia" w:cstheme="minorEastAsia"/>
          <w:b/>
          <w:bCs/>
          <w:position w:val="11"/>
          <w:sz w:val="11"/>
          <w:szCs w:val="11"/>
          <w:lang w:val="en-US" w:eastAsia="zh-CN"/>
        </w:rPr>
        <w:t>]</w:t>
      </w:r>
    </w:p>
    <w:p>
      <w:pPr>
        <w:widowControl w:val="0"/>
        <w:numPr>
          <w:ilvl w:val="0"/>
          <w:numId w:val="0"/>
        </w:numPr>
        <w:ind w:firstLine="420" w:firstLineChars="200"/>
        <w:jc w:val="left"/>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在干细胞治疗应用中，分离的iPSC中的遗传缺陷可首先通过基因靶向治疗，然后诱导细胞分化为目标祖细胞或功能细胞，这些自体细胞可以通过不同的方法传递到患者的损伤部位，以加速组织修复。老年性黄斑变性和相关的黄斑营养不良是导致视力丧失的主要原因。2014年，REARDON等进行了第一次基于iPSC疗法的人体试验，他们将病人iPSC来源的视网膜色素上皮层植入70岁患有老年性黄斑变性的女性患者的右眼。该疗法阻止了患者的黄斑变性并改善了视力。但是，随后的临床试验因第2例患者来源的iPSC发生了两个基因突变而被推迟。2017年3月，MANDAI 等将诱导多能性干细胞来源的视网膜色素上皮细胞片成功移植于患者黄斑下，并在术后1年证实了移植的有效性和安全性，尽管囊性黄斑水肿仍然存在，但患者最佳矫正视力已稳定，这表明iPSC细胞疗法至少延缓了该疾病的退行性影响。最近的一项临床前试验表明，人类iPSC细胞来源的中脑多巴胺能祖细胞在神经毒素 MPTP 处理的灵长类帕金森疾病（parkinson′sdisease，PD）模型中存活下来并发挥作用，经过 2 年的观察，组织学研究表明与健康个体一样，成熟的多巴胺能神经元将致密的神经突延伸至宿主纹状体，根据分数分析和录像记录，移植后猴子的自发运动增加，而且移植物没有引起明显的免疫反应，也没有在大脑中形成肿瘤。这项使用灵长类动物模型的临床前研究表明，人类 iPSC 细胞来源的多巴胺能祖细胞有望在临床上用于PD患者的治疗。虽然 iPSC 在临床治疗上具有极大的前景，但真正在临床上实现该疗法还存在许多障碍需要跨越，如培养方案、移植方法、肿瘤原性和免疫原性的安全性保证等。</w:t>
      </w:r>
    </w:p>
    <w:p>
      <w:pPr>
        <w:widowControl w:val="0"/>
        <w:numPr>
          <w:ilvl w:val="0"/>
          <w:numId w:val="0"/>
        </w:numPr>
        <w:jc w:val="left"/>
        <w:rPr>
          <w:rFonts w:hint="eastAsia" w:asciiTheme="minorEastAsia" w:hAnsiTheme="minorEastAsia" w:cstheme="minorEastAsia"/>
          <w:b w:val="0"/>
          <w:bCs w:val="0"/>
          <w:sz w:val="24"/>
          <w:szCs w:val="24"/>
          <w:lang w:val="en-US" w:eastAsia="zh-CN"/>
        </w:rPr>
      </w:pPr>
    </w:p>
    <w:p>
      <w:pPr>
        <w:widowControl w:val="0"/>
        <w:numPr>
          <w:ilvl w:val="0"/>
          <w:numId w:val="0"/>
        </w:numPr>
        <w:ind w:leftChars="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2.3、IPSC在组织或器官再生中的应用</w:t>
      </w:r>
      <w:r>
        <w:rPr>
          <w:rFonts w:hint="default" w:hAnsi="Calibri" w:cs="Calibri" w:asciiTheme="minorAscii" w:eastAsiaTheme="minorEastAsia"/>
          <w:b/>
          <w:bCs/>
          <w:position w:val="11"/>
          <w:sz w:val="11"/>
          <w:szCs w:val="11"/>
          <w:lang w:val="en-US" w:eastAsia="zh-CN"/>
        </w:rPr>
        <w:t>[</w:t>
      </w:r>
      <w:r>
        <w:rPr>
          <w:rFonts w:hint="default" w:hAnsi="Calibri" w:cs="Calibri" w:asciiTheme="minorAscii"/>
          <w:b/>
          <w:bCs/>
          <w:position w:val="11"/>
          <w:sz w:val="11"/>
          <w:szCs w:val="11"/>
          <w:lang w:val="en-US" w:eastAsia="zh-CN"/>
        </w:rPr>
        <w:t>4</w:t>
      </w:r>
      <w:r>
        <w:rPr>
          <w:rFonts w:hint="default" w:hAnsi="Calibri" w:cs="Calibri" w:asciiTheme="minorAscii" w:eastAsiaTheme="minorEastAsia"/>
          <w:b/>
          <w:bCs/>
          <w:position w:val="11"/>
          <w:sz w:val="11"/>
          <w:szCs w:val="11"/>
          <w:lang w:val="en-US" w:eastAsia="zh-CN"/>
        </w:rPr>
        <w:t>]</w:t>
      </w:r>
    </w:p>
    <w:p>
      <w:pPr>
        <w:widowControl w:val="0"/>
        <w:numPr>
          <w:ilvl w:val="0"/>
          <w:numId w:val="0"/>
        </w:numPr>
        <w:ind w:leftChars="0" w:firstLine="420" w:firstLineChars="200"/>
        <w:jc w:val="left"/>
        <w:rPr>
          <w:rFonts w:hint="default" w:asciiTheme="minorEastAsia" w:hAnsiTheme="minorEastAsia" w:cstheme="minorEastAsia"/>
          <w:b w:val="0"/>
          <w:bCs w:val="0"/>
          <w:sz w:val="21"/>
          <w:szCs w:val="21"/>
          <w:lang w:val="en-US" w:eastAsia="zh-CN"/>
        </w:rPr>
      </w:pPr>
      <w:r>
        <w:rPr>
          <w:rFonts w:hint="default" w:asciiTheme="minorEastAsia" w:hAnsiTheme="minorEastAsia" w:cstheme="minorEastAsia"/>
          <w:b w:val="0"/>
          <w:bCs w:val="0"/>
          <w:sz w:val="21"/>
          <w:szCs w:val="21"/>
          <w:lang w:val="en-US" w:eastAsia="zh-CN"/>
        </w:rPr>
        <w:t>组织或器官再生应用探索</w:t>
      </w:r>
      <w:r>
        <w:rPr>
          <w:rFonts w:hint="eastAsia" w:asciiTheme="minorEastAsia" w:hAnsiTheme="minorEastAsia" w:cstheme="minorEastAsia"/>
          <w:b w:val="0"/>
          <w:bCs w:val="0"/>
          <w:sz w:val="21"/>
          <w:szCs w:val="21"/>
          <w:lang w:val="en-US" w:eastAsia="zh-CN"/>
        </w:rPr>
        <w:t>了</w:t>
      </w:r>
      <w:r>
        <w:rPr>
          <w:rFonts w:hint="default" w:asciiTheme="minorEastAsia" w:hAnsiTheme="minorEastAsia" w:cstheme="minorEastAsia"/>
          <w:b w:val="0"/>
          <w:bCs w:val="0"/>
          <w:sz w:val="21"/>
          <w:szCs w:val="21"/>
          <w:lang w:val="en-US" w:eastAsia="zh-CN"/>
        </w:rPr>
        <w:t>iPSC的多谱系分化潜能，通过在合适的细胞外微环境中加入特定生物物理和生物化学诱导因子，使细胞诱导分化为有功能的三维组织或器官。与二维单层细胞模型不同，三维类组织器官经历了多谱系分化，形成异质细胞群，自我组织形成复杂的组织样结构，从而建立一个与二维培养相比在生理学上更接近疾病原型的微环境 。此外，由于从iPSC获得的三维类器官可在体外培养，并且可以操纵其小环境成分，如信号通路、转录和翻译调控因子等，因此比动物模型在模拟人类疾病方面更具优势。在心血管方面，有文献报道了一种生物三维打印血管化组织模型，为药物管理和毒性分析提供了相比于二维培养细胞更精准的模型。HALE等建立了诱导多能干细胞来源的可以体外模拟人足细胞病和筛选足细胞毒性药物的三维人体肾小球类器官。AMIRI 等证明了 iPSC 来源的类器官可以在分子水平上模拟胎儿 5 到16 周大脑皮层的发育状况。当然，因为目前几乎无法人为控制细胞如何自组织成类器官，所以这些研究产生的类器官不能保证外形尺寸、细胞组成、表型和分子特征的精确复制，因此难以进行治疗质量和安全性控制。虽然最近在更好地控制类器官来源和标准化方面取得了进展，但要实现严格的规范制造还需要更多的努力。</w:t>
      </w:r>
    </w:p>
    <w:p>
      <w:pPr>
        <w:widowControl w:val="0"/>
        <w:numPr>
          <w:ilvl w:val="0"/>
          <w:numId w:val="0"/>
        </w:numPr>
        <w:ind w:leftChars="0"/>
        <w:jc w:val="left"/>
        <w:rPr>
          <w:rFonts w:hint="default" w:asciiTheme="minorEastAsia" w:hAnsiTheme="minorEastAsia" w:cstheme="minorEastAsia"/>
          <w:b w:val="0"/>
          <w:bCs w:val="0"/>
          <w:sz w:val="21"/>
          <w:szCs w:val="21"/>
          <w:lang w:val="en-US" w:eastAsia="zh-CN"/>
        </w:rPr>
      </w:pPr>
    </w:p>
    <w:p>
      <w:pPr>
        <w:widowControl w:val="0"/>
        <w:numPr>
          <w:ilvl w:val="0"/>
          <w:numId w:val="0"/>
        </w:numPr>
        <w:ind w:leftChars="0"/>
        <w:jc w:val="left"/>
        <w:rPr>
          <w:rFonts w:hint="eastAsia"/>
          <w:b/>
          <w:bCs/>
          <w:color w:val="231F20"/>
          <w:w w:val="105"/>
          <w:position w:val="11"/>
          <w:sz w:val="11"/>
          <w:szCs w:val="11"/>
          <w:lang w:val="en-US" w:eastAsia="zh-CN"/>
        </w:rPr>
      </w:pPr>
      <w:r>
        <w:rPr>
          <w:rFonts w:hint="eastAsia" w:asciiTheme="minorEastAsia" w:hAnsiTheme="minorEastAsia" w:cstheme="minorEastAsia"/>
          <w:b w:val="0"/>
          <w:bCs w:val="0"/>
          <w:sz w:val="24"/>
          <w:szCs w:val="24"/>
          <w:lang w:val="en-US" w:eastAsia="zh-CN"/>
        </w:rPr>
        <w:t>2.4、IPSC在药物研发上的应用</w:t>
      </w:r>
      <w:r>
        <w:rPr>
          <w:rFonts w:hint="eastAsia"/>
          <w:b/>
          <w:bCs/>
          <w:color w:val="231F20"/>
          <w:w w:val="105"/>
          <w:position w:val="11"/>
          <w:sz w:val="11"/>
          <w:szCs w:val="11"/>
          <w:lang w:val="en-US" w:eastAsia="zh-CN"/>
        </w:rPr>
        <w:t>[2]</w:t>
      </w:r>
    </w:p>
    <w:p>
      <w:pPr>
        <w:widowControl w:val="0"/>
        <w:numPr>
          <w:ilvl w:val="0"/>
          <w:numId w:val="0"/>
        </w:numPr>
        <w:ind w:leftChars="0" w:firstLine="420" w:firstLineChars="200"/>
        <w:jc w:val="left"/>
        <w:rPr>
          <w:rFonts w:hint="default" w:eastAsiaTheme="minorEastAsia"/>
          <w:b w:val="0"/>
          <w:bCs w:val="0"/>
          <w:color w:val="231F20"/>
          <w:w w:val="100"/>
          <w:position w:val="0"/>
          <w:sz w:val="21"/>
          <w:szCs w:val="21"/>
          <w:lang w:val="en-US" w:eastAsia="zh-CN"/>
        </w:rPr>
      </w:pPr>
      <w:r>
        <w:rPr>
          <w:rFonts w:hint="default" w:eastAsiaTheme="minorEastAsia"/>
          <w:b w:val="0"/>
          <w:bCs w:val="0"/>
          <w:color w:val="231F20"/>
          <w:w w:val="100"/>
          <w:position w:val="0"/>
          <w:sz w:val="21"/>
          <w:szCs w:val="21"/>
          <w:lang w:val="en-US" w:eastAsia="zh-CN"/>
        </w:rPr>
        <w:t>Choi使用α-1抗胰蛋白酶（AAT）缺陷患者的诱导多能干细胞建立了高效的新候选药物筛选平台，利用建立的临床化合物库，对 Johns Hopkins 药物库进行筛选，发现五种临床药物可减少不同患者iPSC来源的肝细胞样细胞AAT的积累，研究结果表明利用iPSC疾病模型进行大规模药物筛选的可行性。还有研究表明iPS细胞也有助于研究药物 ADME（吸收、分布、代谢、排泄）</w:t>
      </w:r>
      <w:r>
        <w:rPr>
          <w:rFonts w:hint="eastAsia"/>
          <w:b w:val="0"/>
          <w:bCs w:val="0"/>
          <w:color w:val="231F20"/>
          <w:w w:val="100"/>
          <w:position w:val="0"/>
          <w:sz w:val="21"/>
          <w:szCs w:val="21"/>
          <w:lang w:val="en-US" w:eastAsia="zh-CN"/>
        </w:rPr>
        <w:t>，</w:t>
      </w:r>
      <w:r>
        <w:rPr>
          <w:rFonts w:hint="default" w:eastAsiaTheme="minorEastAsia"/>
          <w:b w:val="0"/>
          <w:bCs w:val="0"/>
          <w:color w:val="231F20"/>
          <w:w w:val="100"/>
          <w:position w:val="0"/>
          <w:sz w:val="21"/>
          <w:szCs w:val="21"/>
          <w:lang w:val="en-US" w:eastAsia="zh-CN"/>
        </w:rPr>
        <w:t>可以加速药物研发。Carme等研究线粒体DNA突变引起的神经系统疾病时发现，人类iPSCs来源的神经祖细胞(NPCs)保留双亲线粒体 DNA图谱并表现出向氧化磷酸化的代谢，使用iPSC来源的异常高的线粒体膜电位（MMP）突出的 NPCs 对 FDA 批准的药物进行筛选，发现avanafil能够部分挽救钙缺损病人的NPC和分化的神经元，研究结果表明，iPSC来源的 NPCs是神经线粒体疾病药物发现的有效模式。Garbes等人利用 iPSCs 疾病模型重现临床研究评估脊髓性肌萎缩患者的丙戊酸反应性。许多研究已经证明 iPSCs 模型在各种疾病药物筛选中的可行性，包括视网膜疾病（如AMD，神经系统疾病（如自闭症谱系障碍，蒂莫西综合征)和心脏疾病（如儿茶酚胺敏感性多形室性心动过速）。 研究报道，人类 iPSCs来源的心肌细胞可以作为一个敏感的而强大的测试药物致心律失常的模型。在另一项研究中，Liang等人利用遗传性心脏疾病包括遗传性 LQTS，家族性肥厚型心肌病，和家族性扩张型心肌病等患者体细胞产生人类iPSCs，由这些iPSCs分化产生的心肌细胞用于模拟疾病表型和评估几个已知的心脏毒性药物的敏感性，研究结果还表明，iPSCs适用于目前临床前药物代谢和毒性筛选。Takayama等人研究表明，人类 iPSCs来源的肝细胞有可能预测个体药物代谢和药物的反应的差异，由于细胞色素P450基因多态性与个体的药物代谢能力的差异有关，不同个体生成的人类 iPSCs 其 CYP2D6基因单核苷酸多态性不同，与原代肝细胞相比，来自人类 iPSCs的那些特异性细胞色素P450保留供体的活性水平与药物反应。这些结果表明，人类iPSCs来源的肝细胞不仅对病人识别高风险的肝毒性，而且对可以对药物反应性的患者进行分层。</w:t>
      </w:r>
    </w:p>
    <w:p>
      <w:pPr>
        <w:widowControl w:val="0"/>
        <w:numPr>
          <w:ilvl w:val="0"/>
          <w:numId w:val="0"/>
        </w:numPr>
        <w:ind w:leftChars="0"/>
        <w:jc w:val="left"/>
        <w:rPr>
          <w:rFonts w:hint="default" w:eastAsiaTheme="minorEastAsia"/>
          <w:b w:val="0"/>
          <w:bCs w:val="0"/>
          <w:color w:val="231F20"/>
          <w:w w:val="100"/>
          <w:position w:val="0"/>
          <w:sz w:val="21"/>
          <w:szCs w:val="21"/>
          <w:lang w:val="en-US" w:eastAsia="zh-CN"/>
        </w:rPr>
      </w:pPr>
    </w:p>
    <w:p>
      <w:pPr>
        <w:widowControl w:val="0"/>
        <w:numPr>
          <w:ilvl w:val="0"/>
          <w:numId w:val="0"/>
        </w:numPr>
        <w:ind w:leftChars="0"/>
        <w:jc w:val="left"/>
        <w:rPr>
          <w:rFonts w:hint="eastAsia" w:asciiTheme="minorEastAsia" w:hAnsiTheme="minorEastAsia" w:eastAsiaTheme="minorEastAsia" w:cstheme="minorEastAsia"/>
          <w:b w:val="0"/>
          <w:bCs w:val="0"/>
          <w:color w:val="231F20"/>
          <w:w w:val="100"/>
          <w:position w:val="0"/>
          <w:sz w:val="24"/>
          <w:szCs w:val="24"/>
          <w:lang w:val="en-US" w:eastAsia="zh-CN"/>
        </w:rPr>
      </w:pPr>
      <w:r>
        <w:rPr>
          <w:rFonts w:hint="eastAsia" w:asciiTheme="minorEastAsia" w:hAnsiTheme="minorEastAsia" w:eastAsiaTheme="minorEastAsia" w:cstheme="minorEastAsia"/>
          <w:b w:val="0"/>
          <w:bCs w:val="0"/>
          <w:color w:val="231F20"/>
          <w:w w:val="100"/>
          <w:position w:val="0"/>
          <w:sz w:val="24"/>
          <w:szCs w:val="24"/>
          <w:lang w:val="en-US" w:eastAsia="zh-CN"/>
        </w:rPr>
        <w:t>2.5、IPSC在遗传育种和品种改良方面的应用</w:t>
      </w:r>
      <w:r>
        <w:rPr>
          <w:rFonts w:hint="eastAsia"/>
          <w:b/>
          <w:bCs/>
          <w:color w:val="231F20"/>
          <w:w w:val="105"/>
          <w:position w:val="11"/>
          <w:sz w:val="11"/>
          <w:szCs w:val="11"/>
          <w:lang w:val="en-US" w:eastAsia="zh-CN"/>
        </w:rPr>
        <w:t>[5]</w:t>
      </w:r>
    </w:p>
    <w:p>
      <w:pPr>
        <w:widowControl w:val="0"/>
        <w:numPr>
          <w:ilvl w:val="0"/>
          <w:numId w:val="0"/>
        </w:numPr>
        <w:ind w:leftChars="0" w:firstLine="420" w:firstLineChars="200"/>
        <w:jc w:val="left"/>
        <w:rPr>
          <w:rFonts w:hint="default"/>
          <w:b w:val="0"/>
          <w:bCs w:val="0"/>
          <w:color w:val="231F20"/>
          <w:w w:val="100"/>
          <w:position w:val="0"/>
          <w:sz w:val="21"/>
          <w:szCs w:val="21"/>
          <w:lang w:val="en-US" w:eastAsia="zh-CN"/>
        </w:rPr>
      </w:pPr>
      <w:r>
        <w:rPr>
          <w:rFonts w:hint="default"/>
          <w:b w:val="0"/>
          <w:bCs w:val="0"/>
          <w:color w:val="231F20"/>
          <w:w w:val="100"/>
          <w:position w:val="0"/>
          <w:sz w:val="21"/>
          <w:szCs w:val="21"/>
          <w:lang w:val="en-US" w:eastAsia="zh-CN"/>
        </w:rPr>
        <w:t>胚胎干细胞作为核供体进行核移植时具有更高的克隆效率,10%-30%的克隆囊胚能够成功发育成新个体,是机体成体细胞的10-20倍。而诱导多能干细胞与胚胎干细胞在各方面都极其类似,并且研究结果也表明小鼠诱导多能干细胞可通过生殖系嵌合遗传到后代,小鼠脑膜细胞来源的诱导多能干细胞注射到小鼠囊胚后可100%产生嵌合体。因此,用诱导多能干细胞取代胚胎干细胞,利用诱导多能干细胞与胚胎聚合和以诱导多能干细胞为核供体进行细胞核移植技术可使一头良种家畜在短期内生产较多的具有遗传同质型的动物,这不但可以充分发挥良种动物的生产潜力,而且可以加速动物良种化进程,达到生产高产优质品种,快速扩繁群体作用。另一方面将诱导多能干细胞诱导技术和细胞核移植技术结合起来还可大量繁殖濒危动物,迅速扩大濒危动物的群体数量,及建立动物诱导多能干细胞库保护稀有动物资源</w:t>
      </w:r>
      <w:r>
        <w:rPr>
          <w:rFonts w:hint="eastAsia"/>
          <w:b w:val="0"/>
          <w:bCs w:val="0"/>
          <w:color w:val="231F20"/>
          <w:w w:val="100"/>
          <w:position w:val="0"/>
          <w:sz w:val="21"/>
          <w:szCs w:val="21"/>
          <w:lang w:val="en-US" w:eastAsia="zh-CN"/>
        </w:rPr>
        <w:t>。</w:t>
      </w:r>
    </w:p>
    <w:p>
      <w:pPr>
        <w:widowControl w:val="0"/>
        <w:numPr>
          <w:ilvl w:val="0"/>
          <w:numId w:val="0"/>
        </w:numPr>
        <w:ind w:leftChars="0"/>
        <w:jc w:val="left"/>
        <w:rPr>
          <w:rFonts w:hint="default"/>
          <w:b w:val="0"/>
          <w:bCs w:val="0"/>
          <w:color w:val="231F20"/>
          <w:w w:val="100"/>
          <w:position w:val="0"/>
          <w:sz w:val="21"/>
          <w:szCs w:val="21"/>
          <w:lang w:val="en-US" w:eastAsia="zh-CN"/>
        </w:rPr>
      </w:pPr>
    </w:p>
    <w:p>
      <w:pPr>
        <w:widowControl w:val="0"/>
        <w:numPr>
          <w:ilvl w:val="0"/>
          <w:numId w:val="0"/>
        </w:numPr>
        <w:ind w:leftChars="0"/>
        <w:jc w:val="left"/>
        <w:rPr>
          <w:rFonts w:hint="eastAsia" w:asciiTheme="minorEastAsia" w:hAnsiTheme="minorEastAsia" w:eastAsiaTheme="minorEastAsia" w:cstheme="minorEastAsia"/>
          <w:b w:val="0"/>
          <w:bCs w:val="0"/>
          <w:color w:val="231F20"/>
          <w:w w:val="100"/>
          <w:position w:val="0"/>
          <w:sz w:val="24"/>
          <w:szCs w:val="24"/>
          <w:lang w:val="en-US" w:eastAsia="zh-CN"/>
        </w:rPr>
      </w:pPr>
      <w:r>
        <w:rPr>
          <w:rFonts w:hint="eastAsia" w:asciiTheme="minorEastAsia" w:hAnsiTheme="minorEastAsia" w:eastAsiaTheme="minorEastAsia" w:cstheme="minorEastAsia"/>
          <w:b w:val="0"/>
          <w:bCs w:val="0"/>
          <w:color w:val="231F20"/>
          <w:w w:val="100"/>
          <w:position w:val="0"/>
          <w:sz w:val="24"/>
          <w:szCs w:val="24"/>
          <w:lang w:val="en-US" w:eastAsia="zh-CN"/>
        </w:rPr>
        <w:t>2.6、IPSC在转基因动物方面的应用</w:t>
      </w:r>
      <w:r>
        <w:rPr>
          <w:rFonts w:hint="eastAsia"/>
          <w:b/>
          <w:bCs/>
          <w:color w:val="231F20"/>
          <w:w w:val="105"/>
          <w:position w:val="11"/>
          <w:sz w:val="11"/>
          <w:szCs w:val="11"/>
          <w:lang w:val="en-US" w:eastAsia="zh-CN"/>
        </w:rPr>
        <w:t>[5]</w:t>
      </w:r>
    </w:p>
    <w:p>
      <w:pPr>
        <w:widowControl w:val="0"/>
        <w:numPr>
          <w:ilvl w:val="0"/>
          <w:numId w:val="0"/>
        </w:numPr>
        <w:ind w:leftChars="0" w:firstLine="420" w:firstLineChars="200"/>
        <w:jc w:val="left"/>
        <w:rPr>
          <w:rFonts w:hint="default"/>
          <w:b w:val="0"/>
          <w:bCs w:val="0"/>
          <w:color w:val="231F20"/>
          <w:w w:val="100"/>
          <w:position w:val="0"/>
          <w:sz w:val="21"/>
          <w:szCs w:val="21"/>
          <w:lang w:val="en-US" w:eastAsia="zh-CN"/>
        </w:rPr>
      </w:pPr>
      <w:r>
        <w:rPr>
          <w:rFonts w:hint="default"/>
          <w:b w:val="0"/>
          <w:bCs w:val="0"/>
          <w:color w:val="231F20"/>
          <w:w w:val="100"/>
          <w:position w:val="0"/>
          <w:sz w:val="21"/>
          <w:szCs w:val="21"/>
          <w:lang w:val="en-US" w:eastAsia="zh-CN"/>
        </w:rPr>
        <w:t>通过基因转移技术将外源性基因导入到某种动物基因组上,可改良家畜的某些重要生产性状(如生长率、遗传抗性等)或获得非常规性育种性状(如生产人类药用蛋白、工业用酶等)等。诱导多能干细胞和FS细胞、普通体细胞一样,能够高效的进行外源基因导入、基因敲除和基因改造等遗传修饰操作,通过随机或定向整合将外源DNA插入到基因组中。经过筛选可获得阳性细胞,然后将阳性细胞注入囊胚腔或与其他胚胎聚合可获得嵌合体后代,如果经遗传修饰的诱导多能干细胞分化为生殖干细胞,可获得转基因阳性动物。如果把经遗传修饰的诱导多能干细胞作为核移植供体细胞,利用细胞核移植技术可直接获得转基因动物。因此,将诱导多能干细胞诱导技术和转基因动物技术相结合,可进行定向变异和育种,提高动物的遗传本质,加快动物群体遗传变异程度。并且还可打破物种的界限,克服种间繁殖障碍,突破亲缘关系的限制,获得用传统交配方法无法得到的新性状,除</w:t>
      </w:r>
      <w:r>
        <w:rPr>
          <w:rFonts w:hint="eastAsia"/>
          <w:b w:val="0"/>
          <w:bCs w:val="0"/>
          <w:color w:val="231F20"/>
          <w:w w:val="100"/>
          <w:position w:val="0"/>
          <w:sz w:val="21"/>
          <w:szCs w:val="21"/>
          <w:lang w:val="en-US" w:eastAsia="zh-CN"/>
        </w:rPr>
        <w:t>此之外，还可在细胞水平对胚胎进行早期选择，提高选择的准确性，缩短育种时间。</w:t>
      </w:r>
    </w:p>
    <w:p>
      <w:pPr>
        <w:widowControl w:val="0"/>
        <w:numPr>
          <w:ilvl w:val="0"/>
          <w:numId w:val="0"/>
        </w:numPr>
        <w:ind w:leftChars="0"/>
        <w:jc w:val="left"/>
        <w:rPr>
          <w:rFonts w:hint="default"/>
          <w:b w:val="0"/>
          <w:bCs w:val="0"/>
          <w:color w:val="231F20"/>
          <w:w w:val="100"/>
          <w:position w:val="0"/>
          <w:sz w:val="21"/>
          <w:szCs w:val="21"/>
          <w:lang w:val="en-US" w:eastAsia="zh-CN"/>
        </w:rPr>
      </w:pPr>
    </w:p>
    <w:p>
      <w:pPr>
        <w:widowControl w:val="0"/>
        <w:numPr>
          <w:ilvl w:val="0"/>
          <w:numId w:val="0"/>
        </w:numPr>
        <w:ind w:leftChars="0"/>
        <w:jc w:val="left"/>
        <w:rPr>
          <w:rFonts w:hint="default"/>
          <w:b w:val="0"/>
          <w:bCs w:val="0"/>
          <w:color w:val="231F20"/>
          <w:w w:val="100"/>
          <w:position w:val="0"/>
          <w:sz w:val="21"/>
          <w:szCs w:val="21"/>
          <w:lang w:val="en-US" w:eastAsia="zh-CN"/>
        </w:rPr>
      </w:pPr>
    </w:p>
    <w:p>
      <w:pPr>
        <w:widowControl w:val="0"/>
        <w:numPr>
          <w:ilvl w:val="0"/>
          <w:numId w:val="0"/>
        </w:numPr>
        <w:ind w:leftChars="0"/>
        <w:jc w:val="left"/>
        <w:rPr>
          <w:rFonts w:hint="default" w:eastAsiaTheme="minorEastAsia"/>
          <w:b w:val="0"/>
          <w:bCs w:val="0"/>
          <w:color w:val="231F20"/>
          <w:w w:val="100"/>
          <w:position w:val="0"/>
          <w:sz w:val="21"/>
          <w:szCs w:val="21"/>
          <w:lang w:val="en-US" w:eastAsia="zh-CN"/>
        </w:rPr>
      </w:pPr>
    </w:p>
    <w:p>
      <w:pPr>
        <w:widowControl w:val="0"/>
        <w:numPr>
          <w:ilvl w:val="0"/>
          <w:numId w:val="1"/>
        </w:numPr>
        <w:ind w:left="0" w:leftChars="0" w:firstLine="0" w:firstLineChars="0"/>
        <w:jc w:val="left"/>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技术优缺点</w:t>
      </w:r>
    </w:p>
    <w:p>
      <w:pPr>
        <w:widowControl w:val="0"/>
        <w:numPr>
          <w:ilvl w:val="0"/>
          <w:numId w:val="0"/>
        </w:numPr>
        <w:ind w:leftChars="0"/>
        <w:jc w:val="left"/>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3.1优点</w:t>
      </w:r>
    </w:p>
    <w:p>
      <w:pPr>
        <w:widowControl w:val="0"/>
        <w:numPr>
          <w:ilvl w:val="0"/>
          <w:numId w:val="0"/>
        </w:numPr>
        <w:ind w:leftChars="0" w:firstLine="420" w:firstLineChars="200"/>
        <w:jc w:val="left"/>
        <w:rPr>
          <w:rFonts w:hint="default" w:asciiTheme="minorEastAsia" w:hAnsiTheme="minorEastAsia" w:cstheme="minorEastAsia"/>
          <w:b w:val="0"/>
          <w:bCs w:val="0"/>
          <w:sz w:val="21"/>
          <w:szCs w:val="21"/>
          <w:lang w:val="en-US" w:eastAsia="zh-CN"/>
        </w:rPr>
      </w:pPr>
      <w:r>
        <w:rPr>
          <w:rFonts w:hint="default" w:asciiTheme="minorEastAsia" w:hAnsiTheme="minorEastAsia" w:cstheme="minorEastAsia"/>
          <w:b w:val="0"/>
          <w:bCs w:val="0"/>
          <w:sz w:val="21"/>
          <w:szCs w:val="21"/>
          <w:lang w:val="en-US" w:eastAsia="zh-CN"/>
        </w:rPr>
        <w:t>iPSC 不仅具有类似于胚胎干细胞的无限增殖和分化多能性特征，而且突破了胚胎干细胞的免疫排斥和伦理问题等应用限制，为人类医疗手段突破现有的瓶颈提供了解决方案。诱导多能干细胞的出现,在干细胞研究领域、表观遗传学研究领域及再生医学研究领域都引起了强烈的反响,这不仅因为它在基础研究方面的要性,更因为它能够避免移植物对宿主引起的免疫性疾病,具有广阔的临床应用前景。</w:t>
      </w:r>
    </w:p>
    <w:p>
      <w:pPr>
        <w:widowControl w:val="0"/>
        <w:numPr>
          <w:ilvl w:val="0"/>
          <w:numId w:val="0"/>
        </w:numPr>
        <w:ind w:leftChars="0"/>
        <w:jc w:val="left"/>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3.2缺点</w:t>
      </w:r>
    </w:p>
    <w:p>
      <w:pPr>
        <w:widowControl w:val="0"/>
        <w:numPr>
          <w:ilvl w:val="0"/>
          <w:numId w:val="0"/>
        </w:numPr>
        <w:ind w:leftChars="0" w:firstLine="420" w:firstLineChars="200"/>
        <w:jc w:val="left"/>
        <w:rPr>
          <w:rFonts w:hint="default" w:asciiTheme="minorEastAsia" w:hAnsiTheme="minorEastAsia" w:cstheme="minorEastAsia"/>
          <w:b w:val="0"/>
          <w:bCs w:val="0"/>
          <w:sz w:val="21"/>
          <w:szCs w:val="21"/>
          <w:lang w:val="en-US" w:eastAsia="zh-CN"/>
        </w:rPr>
      </w:pPr>
      <w:bookmarkStart w:id="0" w:name="_GoBack"/>
      <w:bookmarkEnd w:id="0"/>
      <w:r>
        <w:rPr>
          <w:rFonts w:hint="default" w:asciiTheme="minorEastAsia" w:hAnsiTheme="minorEastAsia" w:cstheme="minorEastAsia"/>
          <w:b w:val="0"/>
          <w:bCs w:val="0"/>
          <w:sz w:val="21"/>
          <w:szCs w:val="21"/>
          <w:lang w:val="en-US" w:eastAsia="zh-CN"/>
        </w:rPr>
        <w:t>逆转录病毒介导下的 iPSC 技术仍有很多缺陷，其中最主要的三个方面，即低效性、致癌性及免疫原性，这些缺陷极大地限制了 iPSC在临床与科研实践中的应用。</w:t>
      </w:r>
    </w:p>
    <w:p>
      <w:pPr>
        <w:widowControl w:val="0"/>
        <w:numPr>
          <w:ilvl w:val="0"/>
          <w:numId w:val="0"/>
        </w:numPr>
        <w:ind w:leftChars="0"/>
        <w:jc w:val="left"/>
        <w:rPr>
          <w:rFonts w:hint="default" w:asciiTheme="minorEastAsia" w:hAnsiTheme="minorEastAsia" w:cstheme="minorEastAsia"/>
          <w:b w:val="0"/>
          <w:bCs w:val="0"/>
          <w:sz w:val="24"/>
          <w:szCs w:val="24"/>
          <w:lang w:val="en-US" w:eastAsia="zh-CN"/>
        </w:rPr>
      </w:pPr>
    </w:p>
    <w:p>
      <w:pPr>
        <w:widowControl w:val="0"/>
        <w:numPr>
          <w:ilvl w:val="0"/>
          <w:numId w:val="0"/>
        </w:numPr>
        <w:ind w:leftChars="0"/>
        <w:jc w:val="left"/>
        <w:rPr>
          <w:rFonts w:hint="default" w:asciiTheme="minorEastAsia" w:hAnsiTheme="minorEastAsia" w:cstheme="minorEastAsia"/>
          <w:b w:val="0"/>
          <w:bCs w:val="0"/>
          <w:sz w:val="21"/>
          <w:szCs w:val="21"/>
          <w:lang w:val="en-US" w:eastAsia="zh-CN"/>
        </w:rPr>
      </w:pPr>
      <w:r>
        <w:rPr>
          <w:rFonts w:hint="default" w:asciiTheme="minorEastAsia" w:hAnsiTheme="minorEastAsia" w:cstheme="minorEastAsia"/>
          <w:b w:val="0"/>
          <w:bCs w:val="0"/>
          <w:sz w:val="24"/>
          <w:szCs w:val="24"/>
          <w:lang w:val="en-US" w:eastAsia="zh-CN"/>
        </w:rPr>
        <w:t>3.</w:t>
      </w:r>
      <w:r>
        <w:rPr>
          <w:rFonts w:hint="eastAsia" w:asciiTheme="minorEastAsia" w:hAnsiTheme="minorEastAsia" w:cstheme="minorEastAsia"/>
          <w:b w:val="0"/>
          <w:bCs w:val="0"/>
          <w:sz w:val="24"/>
          <w:szCs w:val="24"/>
          <w:lang w:val="en-US" w:eastAsia="zh-CN"/>
        </w:rPr>
        <w:t>1.1</w:t>
      </w:r>
      <w:r>
        <w:rPr>
          <w:rFonts w:hint="default" w:asciiTheme="minorEastAsia" w:hAnsiTheme="minorEastAsia" w:cstheme="minorEastAsia"/>
          <w:b w:val="0"/>
          <w:bCs w:val="0"/>
          <w:sz w:val="24"/>
          <w:szCs w:val="24"/>
          <w:lang w:val="en-US" w:eastAsia="zh-CN"/>
        </w:rPr>
        <w:t>安全性及基因不稳定性</w:t>
      </w:r>
      <w:r>
        <w:rPr>
          <w:rFonts w:hint="eastAsia"/>
          <w:b/>
          <w:bCs/>
          <w:color w:val="231F20"/>
          <w:w w:val="105"/>
          <w:position w:val="11"/>
          <w:sz w:val="11"/>
          <w:szCs w:val="11"/>
          <w:lang w:val="en-US" w:eastAsia="zh-CN"/>
        </w:rPr>
        <w:t>[2]</w:t>
      </w:r>
    </w:p>
    <w:p>
      <w:pPr>
        <w:widowControl w:val="0"/>
        <w:numPr>
          <w:ilvl w:val="0"/>
          <w:numId w:val="0"/>
        </w:numPr>
        <w:ind w:leftChars="0" w:firstLine="420" w:firstLineChars="200"/>
        <w:jc w:val="left"/>
        <w:rPr>
          <w:rFonts w:hint="default" w:asciiTheme="minorEastAsia" w:hAnsiTheme="minorEastAsia" w:cstheme="minorEastAsia"/>
          <w:b w:val="0"/>
          <w:bCs w:val="0"/>
          <w:sz w:val="21"/>
          <w:szCs w:val="21"/>
          <w:lang w:val="en-US" w:eastAsia="zh-CN"/>
        </w:rPr>
      </w:pPr>
      <w:r>
        <w:rPr>
          <w:rFonts w:hint="default" w:asciiTheme="minorEastAsia" w:hAnsiTheme="minorEastAsia" w:cstheme="minorEastAsia"/>
          <w:b w:val="0"/>
          <w:bCs w:val="0"/>
          <w:sz w:val="21"/>
          <w:szCs w:val="21"/>
          <w:lang w:val="en-US" w:eastAsia="zh-CN"/>
        </w:rPr>
        <w:t>人类 iPSCs 与 ESCs 相比，在标记表达、自我更新能力和分化潜能方面高度相似。然而，iPSCs 毕竟不能等同于 ESCs。更精细的全基因组遗传和表观遗传学研究表明，两者之间也存在着以下差别：基因不稳定性，包括表观遗传记忆在人类诱导多能干细胞的持续存在；不同的 DNA 甲基化特征；以及不同程度的遗传变异。通过逆转录病毒载体插入的遗传物质可以随机整合到宿主基因组中，从而引起遗传失常和畸胎瘤形成。Zhang等利用生物信息学工具分析了 11 种不同细胞重编程形成的iPSCs 细胞系所有可用的数据，发现 iPSC 中593 个共有基因，这 593 个基因中有 209 个在人类肿瘤细胞系和肿瘤组织中表达，而且 5 个癌基因在这些 iPSCs 中超表达，这表明 iPSC 中的共有基因的表达有一定的肿瘤和癌症的发生风险。为了探讨人iPSCs的致瘤倾向，科学家对4</w:t>
      </w:r>
      <w:r>
        <w:rPr>
          <w:rFonts w:hint="eastAsia" w:asciiTheme="minorEastAsia" w:hAnsiTheme="minorEastAsia" w:cstheme="minorEastAsia"/>
          <w:b w:val="0"/>
          <w:bCs w:val="0"/>
          <w:sz w:val="21"/>
          <w:szCs w:val="21"/>
          <w:lang w:val="en-US" w:eastAsia="zh-CN"/>
        </w:rPr>
        <w:t>9</w:t>
      </w:r>
      <w:r>
        <w:rPr>
          <w:rFonts w:hint="default" w:asciiTheme="minorEastAsia" w:hAnsiTheme="minorEastAsia" w:cstheme="minorEastAsia"/>
          <w:b w:val="0"/>
          <w:bCs w:val="0"/>
          <w:sz w:val="21"/>
          <w:szCs w:val="21"/>
          <w:lang w:val="en-US" w:eastAsia="zh-CN"/>
        </w:rPr>
        <w:t>个人类 iPSCs 细胞系和 10个人的 ESCs 细胞系的基因表达和 DNA 甲基化进行了研究，发现7个 iPSCs 克隆保留大量未分化细胞，甚至在神经分化培养和移植到小鼠脑内后形成畸胎瘤，这些有缺陷的分化细胞系中几种基因呈现高水平的基因表达，这些包括人类内源性逆转录病毒长末端重复序列，人 iPSC 在神经分化过程中有异常的基因表达和缺陷潜能。</w:t>
      </w:r>
    </w:p>
    <w:p>
      <w:pPr>
        <w:widowControl w:val="0"/>
        <w:numPr>
          <w:ilvl w:val="0"/>
          <w:numId w:val="0"/>
        </w:numPr>
        <w:ind w:leftChars="0" w:firstLine="420" w:firstLineChars="200"/>
        <w:jc w:val="left"/>
        <w:rPr>
          <w:rFonts w:hint="default" w:asciiTheme="minorEastAsia" w:hAnsiTheme="minorEastAsia" w:cstheme="minorEastAsia"/>
          <w:b w:val="0"/>
          <w:bCs w:val="0"/>
          <w:sz w:val="21"/>
          <w:szCs w:val="21"/>
          <w:lang w:val="en-US" w:eastAsia="zh-CN"/>
        </w:rPr>
      </w:pPr>
    </w:p>
    <w:p>
      <w:pPr>
        <w:widowControl w:val="0"/>
        <w:numPr>
          <w:ilvl w:val="0"/>
          <w:numId w:val="0"/>
        </w:numPr>
        <w:jc w:val="left"/>
        <w:rPr>
          <w:rFonts w:hint="default" w:asciiTheme="minorEastAsia" w:hAnsiTheme="minorEastAsia" w:cstheme="minorEastAsia"/>
          <w:b w:val="0"/>
          <w:bCs w:val="0"/>
          <w:sz w:val="21"/>
          <w:szCs w:val="21"/>
          <w:lang w:val="en-US" w:eastAsia="zh-CN"/>
        </w:rPr>
      </w:pPr>
    </w:p>
    <w:p>
      <w:pPr>
        <w:widowControl w:val="0"/>
        <w:numPr>
          <w:ilvl w:val="0"/>
          <w:numId w:val="0"/>
        </w:numPr>
        <w:jc w:val="left"/>
        <w:rPr>
          <w:rFonts w:hint="default" w:asciiTheme="minorEastAsia" w:hAnsiTheme="minorEastAsia" w:cstheme="minorEastAsia"/>
          <w:b w:val="0"/>
          <w:bCs w:val="0"/>
          <w:sz w:val="21"/>
          <w:szCs w:val="21"/>
          <w:lang w:val="en-US" w:eastAsia="zh-CN"/>
        </w:rPr>
      </w:pPr>
      <w:r>
        <w:rPr>
          <w:rFonts w:hint="default" w:asciiTheme="minorEastAsia" w:hAnsiTheme="minorEastAsia" w:cstheme="minorEastAsia"/>
          <w:b w:val="0"/>
          <w:bCs w:val="0"/>
          <w:sz w:val="24"/>
          <w:szCs w:val="24"/>
          <w:lang w:val="en-US" w:eastAsia="zh-CN"/>
        </w:rPr>
        <w:t>3.</w:t>
      </w:r>
      <w:r>
        <w:rPr>
          <w:rFonts w:hint="eastAsia" w:asciiTheme="minorEastAsia" w:hAnsiTheme="minorEastAsia" w:cstheme="minorEastAsia"/>
          <w:b w:val="0"/>
          <w:bCs w:val="0"/>
          <w:sz w:val="24"/>
          <w:szCs w:val="24"/>
          <w:lang w:val="en-US" w:eastAsia="zh-CN"/>
        </w:rPr>
        <w:t>1.</w:t>
      </w:r>
      <w:r>
        <w:rPr>
          <w:rFonts w:hint="default" w:asciiTheme="minorEastAsia" w:hAnsiTheme="minorEastAsia" w:cstheme="minorEastAsia"/>
          <w:b w:val="0"/>
          <w:bCs w:val="0"/>
          <w:sz w:val="24"/>
          <w:szCs w:val="24"/>
          <w:lang w:val="en-US" w:eastAsia="zh-CN"/>
        </w:rPr>
        <w:t>2 诱导效率低及投入成本高</w:t>
      </w:r>
      <w:r>
        <w:rPr>
          <w:rFonts w:hint="eastAsia"/>
          <w:b/>
          <w:bCs/>
          <w:color w:val="231F20"/>
          <w:w w:val="105"/>
          <w:position w:val="11"/>
          <w:sz w:val="11"/>
          <w:szCs w:val="11"/>
          <w:lang w:val="en-US" w:eastAsia="zh-CN"/>
        </w:rPr>
        <w:t>[2]</w:t>
      </w:r>
    </w:p>
    <w:p>
      <w:pPr>
        <w:widowControl w:val="0"/>
        <w:numPr>
          <w:ilvl w:val="0"/>
          <w:numId w:val="0"/>
        </w:numPr>
        <w:ind w:leftChars="0" w:firstLine="420" w:firstLineChars="200"/>
        <w:jc w:val="left"/>
        <w:rPr>
          <w:rFonts w:hint="default" w:asciiTheme="minorEastAsia" w:hAnsiTheme="minorEastAsia" w:cstheme="minorEastAsia"/>
          <w:b w:val="0"/>
          <w:bCs w:val="0"/>
          <w:sz w:val="21"/>
          <w:szCs w:val="21"/>
          <w:lang w:val="en-US" w:eastAsia="zh-CN"/>
        </w:rPr>
      </w:pPr>
      <w:r>
        <w:rPr>
          <w:rFonts w:hint="default" w:asciiTheme="minorEastAsia" w:hAnsiTheme="minorEastAsia" w:cstheme="minorEastAsia"/>
          <w:b w:val="0"/>
          <w:bCs w:val="0"/>
          <w:sz w:val="21"/>
          <w:szCs w:val="21"/>
          <w:lang w:val="en-US" w:eastAsia="zh-CN"/>
        </w:rPr>
        <w:t>虽然诱导多能干细胞的重编程的技术有所突破，但是诱导效率太低是目前iPSCs应用于临床必须跨越的一大障碍。虽然iPSC集落形成的效率随供体的不同而有所不同，但基础因子的内源性表达与细胞重编程效率呈正相关。有基础内源性因子表达的供体细胞形成 iPSC 克隆的平均效率为 0.49±0.10%，一般转导效率在 0.31- 0.66%，新生儿皮肤成纤维细胞平均转导效率为 0.03±0%</w:t>
      </w:r>
      <w:r>
        <w:rPr>
          <w:rFonts w:hint="eastAsia" w:asciiTheme="minorEastAsia" w:hAnsiTheme="minorEastAsia" w:cstheme="minorEastAsia"/>
          <w:b w:val="0"/>
          <w:bCs w:val="0"/>
          <w:sz w:val="21"/>
          <w:szCs w:val="21"/>
          <w:lang w:val="en-US" w:eastAsia="zh-CN"/>
        </w:rPr>
        <w:t>，</w:t>
      </w:r>
      <w:r>
        <w:rPr>
          <w:rFonts w:hint="default" w:asciiTheme="minorEastAsia" w:hAnsiTheme="minorEastAsia" w:cstheme="minorEastAsia"/>
          <w:b w:val="0"/>
          <w:bCs w:val="0"/>
          <w:sz w:val="21"/>
          <w:szCs w:val="21"/>
          <w:lang w:val="en-US" w:eastAsia="zh-CN"/>
        </w:rPr>
        <w:t xml:space="preserve">形成 iPSC 克隆的平均效率为 0.02～0.03%。此外，当多个样本需要重新编程时，iPSCs衍生的高成本是限制大多数实验室发展的一个主要因素。而且，在诸多广泛应用的整合方法中，仙台病毒和mRNA的方法需要昂贵的试剂进行重编程，而 episoma 方法需要大量的起始细胞，则需要投入高成本劳动力。重编程效率的提高可以有多种方法，包括不同诱导因子的特异性组合、miRNAs、下调抑制因子、上调 / 抑制一些与细胞增殖相关的信号通路等。 </w:t>
      </w:r>
    </w:p>
    <w:p>
      <w:pPr>
        <w:widowControl w:val="0"/>
        <w:numPr>
          <w:ilvl w:val="0"/>
          <w:numId w:val="0"/>
        </w:numPr>
        <w:ind w:leftChars="0"/>
        <w:jc w:val="left"/>
        <w:rPr>
          <w:rFonts w:hint="default" w:asciiTheme="minorEastAsia" w:hAnsiTheme="minorEastAsia" w:cstheme="minorEastAsia"/>
          <w:b w:val="0"/>
          <w:bCs w:val="0"/>
          <w:sz w:val="21"/>
          <w:szCs w:val="21"/>
          <w:lang w:val="en-US" w:eastAsia="zh-CN"/>
        </w:rPr>
      </w:pPr>
    </w:p>
    <w:p>
      <w:pPr>
        <w:widowControl w:val="0"/>
        <w:numPr>
          <w:ilvl w:val="0"/>
          <w:numId w:val="0"/>
        </w:numPr>
        <w:ind w:leftChars="0" w:firstLine="420" w:firstLineChars="200"/>
        <w:jc w:val="left"/>
        <w:rPr>
          <w:rFonts w:hint="default" w:asciiTheme="minorEastAsia" w:hAnsiTheme="minorEastAsia" w:cstheme="minorEastAsia"/>
          <w:b w:val="0"/>
          <w:bCs w:val="0"/>
          <w:sz w:val="21"/>
          <w:szCs w:val="21"/>
          <w:lang w:val="en-US" w:eastAsia="zh-CN"/>
        </w:rPr>
      </w:pPr>
      <w:r>
        <w:rPr>
          <w:rFonts w:hint="default" w:asciiTheme="minorEastAsia" w:hAnsiTheme="minorEastAsia" w:cstheme="minorEastAsia"/>
          <w:b w:val="0"/>
          <w:bCs w:val="0"/>
          <w:sz w:val="21"/>
          <w:szCs w:val="21"/>
          <w:lang w:val="en-US" w:eastAsia="zh-CN"/>
        </w:rPr>
        <w:t>目前，虽然 iPSC 技术发展迅猛，但是该领域的临床研究才起步不久</w:t>
      </w:r>
      <w:r>
        <w:rPr>
          <w:rFonts w:hint="eastAsia" w:asciiTheme="minorEastAsia" w:hAnsiTheme="minorEastAsia" w:cstheme="minorEastAsia"/>
          <w:b w:val="0"/>
          <w:bCs w:val="0"/>
          <w:sz w:val="21"/>
          <w:szCs w:val="21"/>
          <w:lang w:val="en-US" w:eastAsia="zh-CN"/>
        </w:rPr>
        <w:t>，</w:t>
      </w:r>
      <w:r>
        <w:rPr>
          <w:rFonts w:hint="default" w:asciiTheme="minorEastAsia" w:hAnsiTheme="minorEastAsia" w:cstheme="minorEastAsia"/>
          <w:b w:val="0"/>
          <w:bCs w:val="0"/>
          <w:sz w:val="21"/>
          <w:szCs w:val="21"/>
          <w:lang w:val="en-US" w:eastAsia="zh-CN"/>
        </w:rPr>
        <w:t>iPSC的临床应用仍受到以下几个方面的限制：（1）如何高效获得安全的、高纯度的iPSC；（2）如何定向诱导多能干细胞向某一特定类型的细胞分化并能在新的组织环境中承担成熟细胞的功能；（3</w:t>
      </w:r>
      <w:r>
        <w:rPr>
          <w:rFonts w:hint="eastAsia" w:asciiTheme="minorEastAsia" w:hAnsiTheme="minorEastAsia" w:cstheme="minorEastAsia"/>
          <w:b w:val="0"/>
          <w:bCs w:val="0"/>
          <w:sz w:val="21"/>
          <w:szCs w:val="21"/>
          <w:lang w:val="en-US" w:eastAsia="zh-CN"/>
        </w:rPr>
        <w:t>）</w:t>
      </w:r>
      <w:r>
        <w:rPr>
          <w:rFonts w:hint="default" w:asciiTheme="minorEastAsia" w:hAnsiTheme="minorEastAsia" w:cstheme="minorEastAsia"/>
          <w:b w:val="0"/>
          <w:bCs w:val="0"/>
          <w:sz w:val="21"/>
          <w:szCs w:val="21"/>
          <w:lang w:val="en-US" w:eastAsia="zh-CN"/>
        </w:rPr>
        <w:t>iPSC在临床治疗上的有效性和安全性还需继续观察；（4）如何进一步制定临床应用上的标准和规范以及临床毒理和药理的分析方法和指标等。</w:t>
      </w:r>
      <w:r>
        <w:rPr>
          <w:rFonts w:hint="default" w:hAnsi="Calibri" w:cs="Calibri" w:asciiTheme="minorAscii" w:eastAsiaTheme="minorEastAsia"/>
          <w:b/>
          <w:bCs/>
          <w:position w:val="11"/>
          <w:sz w:val="11"/>
          <w:szCs w:val="11"/>
          <w:lang w:val="en-US" w:eastAsia="zh-CN"/>
        </w:rPr>
        <w:t>[</w:t>
      </w:r>
      <w:r>
        <w:rPr>
          <w:rFonts w:hint="default" w:hAnsi="Calibri" w:cs="Calibri" w:asciiTheme="minorAscii"/>
          <w:b/>
          <w:bCs/>
          <w:position w:val="11"/>
          <w:sz w:val="11"/>
          <w:szCs w:val="11"/>
          <w:lang w:val="en-US" w:eastAsia="zh-CN"/>
        </w:rPr>
        <w:t>4</w:t>
      </w:r>
      <w:r>
        <w:rPr>
          <w:rFonts w:hint="default" w:hAnsi="Calibri" w:cs="Calibri" w:asciiTheme="minorAscii" w:eastAsiaTheme="minorEastAsia"/>
          <w:b/>
          <w:bCs/>
          <w:position w:val="11"/>
          <w:sz w:val="11"/>
          <w:szCs w:val="11"/>
          <w:lang w:val="en-US" w:eastAsia="zh-CN"/>
        </w:rPr>
        <w:t>]</w:t>
      </w:r>
    </w:p>
    <w:p>
      <w:pPr>
        <w:widowControl w:val="0"/>
        <w:numPr>
          <w:ilvl w:val="0"/>
          <w:numId w:val="0"/>
        </w:numPr>
        <w:ind w:leftChars="0"/>
        <w:jc w:val="left"/>
        <w:rPr>
          <w:rFonts w:hint="default" w:asciiTheme="minorEastAsia" w:hAnsiTheme="minorEastAsia" w:cstheme="minorEastAsia"/>
          <w:b w:val="0"/>
          <w:bCs w:val="0"/>
          <w:sz w:val="21"/>
          <w:szCs w:val="21"/>
          <w:lang w:val="en-US" w:eastAsia="zh-CN"/>
        </w:rPr>
      </w:pPr>
    </w:p>
    <w:p>
      <w:pPr>
        <w:widowControl w:val="0"/>
        <w:numPr>
          <w:ilvl w:val="0"/>
          <w:numId w:val="0"/>
        </w:numPr>
        <w:ind w:leftChars="0"/>
        <w:jc w:val="left"/>
        <w:rPr>
          <w:rFonts w:hint="default" w:asciiTheme="minorEastAsia" w:hAnsiTheme="minorEastAsia" w:cstheme="minorEastAsia"/>
          <w:b w:val="0"/>
          <w:bCs w:val="0"/>
          <w:sz w:val="21"/>
          <w:szCs w:val="21"/>
          <w:lang w:val="en-US" w:eastAsia="zh-CN"/>
        </w:rPr>
      </w:pPr>
    </w:p>
    <w:p>
      <w:pPr>
        <w:widowControl w:val="0"/>
        <w:numPr>
          <w:ilvl w:val="0"/>
          <w:numId w:val="0"/>
        </w:numPr>
        <w:ind w:leftChars="0"/>
        <w:jc w:val="left"/>
        <w:rPr>
          <w:rFonts w:hint="default" w:asciiTheme="minorEastAsia" w:hAnsiTheme="minorEastAsia" w:cstheme="minorEastAsia"/>
          <w:b w:val="0"/>
          <w:bCs w:val="0"/>
          <w:sz w:val="21"/>
          <w:szCs w:val="21"/>
          <w:lang w:val="en-US" w:eastAsia="zh-CN"/>
        </w:rPr>
      </w:pPr>
    </w:p>
    <w:p>
      <w:pPr>
        <w:widowControl w:val="0"/>
        <w:numPr>
          <w:ilvl w:val="0"/>
          <w:numId w:val="0"/>
        </w:numPr>
        <w:ind w:leftChars="0"/>
        <w:jc w:val="left"/>
        <w:rPr>
          <w:rFonts w:hint="default" w:asciiTheme="minorEastAsia" w:hAnsiTheme="minorEastAsia" w:cstheme="minorEastAsia"/>
          <w:b w:val="0"/>
          <w:bCs w:val="0"/>
          <w:sz w:val="21"/>
          <w:szCs w:val="21"/>
          <w:lang w:val="en-US" w:eastAsia="zh-CN"/>
        </w:rPr>
      </w:pPr>
    </w:p>
    <w:p>
      <w:pPr>
        <w:widowControl w:val="0"/>
        <w:numPr>
          <w:ilvl w:val="0"/>
          <w:numId w:val="1"/>
        </w:numPr>
        <w:ind w:left="0" w:leftChars="0" w:firstLine="0" w:firstLineChars="0"/>
        <w:jc w:val="left"/>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参考文献</w:t>
      </w:r>
    </w:p>
    <w:p>
      <w:pPr>
        <w:widowControl w:val="0"/>
        <w:numPr>
          <w:ilvl w:val="0"/>
          <w:numId w:val="2"/>
        </w:numPr>
        <w:ind w:leftChars="0"/>
        <w:jc w:val="left"/>
        <w:rPr>
          <w:rFonts w:hint="eastAsia" w:asciiTheme="minorEastAsia" w:hAnsiTheme="minorEastAsia" w:eastAsiaTheme="minorEastAsia" w:cstheme="minorEastAsia"/>
          <w:b w:val="0"/>
          <w:bCs/>
          <w:i w:val="0"/>
          <w:caps w:val="0"/>
          <w:color w:val="333333"/>
          <w:spacing w:val="0"/>
          <w:sz w:val="18"/>
          <w:szCs w:val="18"/>
          <w:u w:val="none"/>
        </w:rPr>
      </w:pPr>
      <w:r>
        <w:rPr>
          <w:rFonts w:hint="eastAsia" w:asciiTheme="minorEastAsia" w:hAnsiTheme="minorEastAsia" w:cstheme="minorEastAsia"/>
          <w:b w:val="0"/>
          <w:bCs w:val="0"/>
          <w:sz w:val="18"/>
          <w:szCs w:val="18"/>
          <w:lang w:val="en-US" w:eastAsia="zh-CN"/>
        </w:rPr>
        <w:t>iPS 技术的发展与应用   张哲源</w:t>
      </w:r>
    </w:p>
    <w:p>
      <w:pPr>
        <w:widowControl w:val="0"/>
        <w:numPr>
          <w:ilvl w:val="0"/>
          <w:numId w:val="0"/>
        </w:numPr>
        <w:jc w:val="left"/>
        <w:rPr>
          <w:rFonts w:hint="eastAsia" w:asciiTheme="minorEastAsia" w:hAnsiTheme="minorEastAsia" w:eastAsiaTheme="minorEastAsia" w:cstheme="minorEastAsia"/>
          <w:b w:val="0"/>
          <w:bCs/>
          <w:i w:val="0"/>
          <w:caps w:val="0"/>
          <w:color w:val="231815"/>
          <w:spacing w:val="0"/>
          <w:sz w:val="18"/>
          <w:szCs w:val="18"/>
          <w:u w:val="none"/>
          <w:lang w:val="en-US" w:eastAsia="zh-CN"/>
        </w:rPr>
      </w:pPr>
      <w:r>
        <w:rPr>
          <w:rFonts w:hint="eastAsia" w:asciiTheme="minorEastAsia" w:hAnsiTheme="minorEastAsia" w:cstheme="minorEastAsia"/>
          <w:b w:val="0"/>
          <w:bCs w:val="0"/>
          <w:sz w:val="18"/>
          <w:szCs w:val="18"/>
          <w:lang w:val="en-US" w:eastAsia="zh-CN"/>
        </w:rPr>
        <w:t>[2]</w:t>
      </w:r>
      <w:r>
        <w:rPr>
          <w:rFonts w:hint="eastAsia" w:asciiTheme="minorEastAsia" w:hAnsiTheme="minorEastAsia" w:eastAsiaTheme="minorEastAsia" w:cstheme="minorEastAsia"/>
          <w:b w:val="0"/>
          <w:bCs/>
          <w:i w:val="0"/>
          <w:caps w:val="0"/>
          <w:color w:val="231815"/>
          <w:spacing w:val="0"/>
          <w:sz w:val="18"/>
          <w:szCs w:val="18"/>
          <w:u w:val="none"/>
        </w:rPr>
        <w:t>诱导多能干细胞在医学方面的应用</w:t>
      </w:r>
      <w:r>
        <w:rPr>
          <w:rFonts w:hint="eastAsia" w:asciiTheme="minorEastAsia" w:hAnsiTheme="minorEastAsia" w:eastAsiaTheme="minorEastAsia" w:cstheme="minorEastAsia"/>
          <w:b w:val="0"/>
          <w:bCs/>
          <w:i w:val="0"/>
          <w:caps w:val="0"/>
          <w:color w:val="231815"/>
          <w:spacing w:val="0"/>
          <w:sz w:val="18"/>
          <w:szCs w:val="18"/>
          <w:u w:val="none"/>
          <w:lang w:val="en-US" w:eastAsia="zh-CN"/>
        </w:rPr>
        <w:t xml:space="preserve"> 董明清</w:t>
      </w:r>
      <w:r>
        <w:rPr>
          <w:rFonts w:hint="eastAsia" w:asciiTheme="minorEastAsia" w:hAnsiTheme="minorEastAsia" w:cstheme="minorEastAsia"/>
          <w:b w:val="0"/>
          <w:bCs/>
          <w:i w:val="0"/>
          <w:caps w:val="0"/>
          <w:color w:val="231815"/>
          <w:spacing w:val="0"/>
          <w:sz w:val="18"/>
          <w:szCs w:val="18"/>
          <w:u w:val="none"/>
          <w:lang w:val="en-US" w:eastAsia="zh-CN"/>
        </w:rPr>
        <w:t>、</w:t>
      </w:r>
      <w:r>
        <w:rPr>
          <w:rFonts w:hint="eastAsia" w:asciiTheme="minorEastAsia" w:hAnsiTheme="minorEastAsia" w:eastAsiaTheme="minorEastAsia" w:cstheme="minorEastAsia"/>
          <w:b w:val="0"/>
          <w:bCs/>
          <w:i w:val="0"/>
          <w:caps w:val="0"/>
          <w:color w:val="231815"/>
          <w:spacing w:val="0"/>
          <w:sz w:val="18"/>
          <w:szCs w:val="18"/>
          <w:u w:val="none"/>
          <w:lang w:val="en-US" w:eastAsia="zh-CN"/>
        </w:rPr>
        <w:t>邢书娟</w:t>
      </w:r>
      <w:r>
        <w:rPr>
          <w:rFonts w:hint="eastAsia" w:asciiTheme="minorEastAsia" w:hAnsiTheme="minorEastAsia" w:cstheme="minorEastAsia"/>
          <w:b w:val="0"/>
          <w:bCs/>
          <w:i w:val="0"/>
          <w:caps w:val="0"/>
          <w:color w:val="231815"/>
          <w:spacing w:val="0"/>
          <w:sz w:val="18"/>
          <w:szCs w:val="18"/>
          <w:u w:val="none"/>
          <w:lang w:val="en-US" w:eastAsia="zh-CN"/>
        </w:rPr>
        <w:t>、</w:t>
      </w:r>
      <w:r>
        <w:rPr>
          <w:rFonts w:hint="eastAsia" w:asciiTheme="minorEastAsia" w:hAnsiTheme="minorEastAsia" w:eastAsiaTheme="minorEastAsia" w:cstheme="minorEastAsia"/>
          <w:b w:val="0"/>
          <w:bCs/>
          <w:i w:val="0"/>
          <w:caps w:val="0"/>
          <w:color w:val="231815"/>
          <w:spacing w:val="0"/>
          <w:sz w:val="18"/>
          <w:szCs w:val="18"/>
          <w:u w:val="none"/>
          <w:lang w:val="en-US" w:eastAsia="zh-CN"/>
        </w:rPr>
        <w:t>梁晓庆</w:t>
      </w:r>
      <w:r>
        <w:rPr>
          <w:rFonts w:hint="eastAsia" w:asciiTheme="minorEastAsia" w:hAnsiTheme="minorEastAsia" w:cstheme="minorEastAsia"/>
          <w:b w:val="0"/>
          <w:bCs/>
          <w:i w:val="0"/>
          <w:caps w:val="0"/>
          <w:color w:val="231815"/>
          <w:spacing w:val="0"/>
          <w:sz w:val="18"/>
          <w:szCs w:val="18"/>
          <w:u w:val="none"/>
          <w:lang w:val="en-US" w:eastAsia="zh-CN"/>
        </w:rPr>
        <w:t>、</w:t>
      </w:r>
      <w:r>
        <w:rPr>
          <w:rFonts w:hint="eastAsia" w:asciiTheme="minorEastAsia" w:hAnsiTheme="minorEastAsia" w:eastAsiaTheme="minorEastAsia" w:cstheme="minorEastAsia"/>
          <w:b w:val="0"/>
          <w:bCs/>
          <w:i w:val="0"/>
          <w:caps w:val="0"/>
          <w:color w:val="231815"/>
          <w:spacing w:val="0"/>
          <w:sz w:val="18"/>
          <w:szCs w:val="18"/>
          <w:u w:val="none"/>
          <w:lang w:val="en-US" w:eastAsia="zh-CN"/>
        </w:rPr>
        <w:t>周宝珍</w:t>
      </w:r>
      <w:r>
        <w:rPr>
          <w:rFonts w:hint="eastAsia" w:asciiTheme="minorEastAsia" w:hAnsiTheme="minorEastAsia" w:cstheme="minorEastAsia"/>
          <w:b w:val="0"/>
          <w:bCs/>
          <w:i w:val="0"/>
          <w:caps w:val="0"/>
          <w:color w:val="231815"/>
          <w:spacing w:val="0"/>
          <w:sz w:val="18"/>
          <w:szCs w:val="18"/>
          <w:u w:val="none"/>
          <w:lang w:val="en-US" w:eastAsia="zh-CN"/>
        </w:rPr>
        <w:t>、</w:t>
      </w:r>
      <w:r>
        <w:rPr>
          <w:rFonts w:hint="eastAsia" w:asciiTheme="minorEastAsia" w:hAnsiTheme="minorEastAsia" w:eastAsiaTheme="minorEastAsia" w:cstheme="minorEastAsia"/>
          <w:b w:val="0"/>
          <w:bCs/>
          <w:i w:val="0"/>
          <w:caps w:val="0"/>
          <w:color w:val="231815"/>
          <w:spacing w:val="0"/>
          <w:sz w:val="18"/>
          <w:szCs w:val="18"/>
          <w:u w:val="none"/>
          <w:lang w:val="en-US" w:eastAsia="zh-CN"/>
        </w:rPr>
        <w:t>张敏利</w:t>
      </w:r>
      <w:r>
        <w:rPr>
          <w:rFonts w:hint="eastAsia" w:asciiTheme="minorEastAsia" w:hAnsiTheme="minorEastAsia" w:cstheme="minorEastAsia"/>
          <w:b w:val="0"/>
          <w:bCs/>
          <w:i w:val="0"/>
          <w:caps w:val="0"/>
          <w:color w:val="231815"/>
          <w:spacing w:val="0"/>
          <w:sz w:val="18"/>
          <w:szCs w:val="18"/>
          <w:u w:val="none"/>
          <w:lang w:val="en-US" w:eastAsia="zh-CN"/>
        </w:rPr>
        <w:t xml:space="preserve">   </w:t>
      </w:r>
      <w:r>
        <w:rPr>
          <w:rFonts w:hint="eastAsia" w:asciiTheme="minorEastAsia" w:hAnsiTheme="minorEastAsia" w:eastAsiaTheme="minorEastAsia" w:cstheme="minorEastAsia"/>
          <w:b w:val="0"/>
          <w:bCs/>
          <w:i w:val="0"/>
          <w:caps w:val="0"/>
          <w:color w:val="231815"/>
          <w:spacing w:val="0"/>
          <w:sz w:val="18"/>
          <w:szCs w:val="18"/>
          <w:u w:val="none"/>
          <w:lang w:val="en-US" w:eastAsia="zh-CN"/>
        </w:rPr>
        <w:t>现代生物医学进展</w:t>
      </w:r>
    </w:p>
    <w:p>
      <w:pPr>
        <w:widowControl w:val="0"/>
        <w:numPr>
          <w:ilvl w:val="0"/>
          <w:numId w:val="0"/>
        </w:numPr>
        <w:jc w:val="left"/>
        <w:rPr>
          <w:rFonts w:hint="eastAsia" w:asciiTheme="minorEastAsia" w:hAnsiTheme="minorEastAsia" w:eastAsiaTheme="minorEastAsia" w:cstheme="minorEastAsia"/>
          <w:b w:val="0"/>
          <w:bCs/>
          <w:i w:val="0"/>
          <w:caps w:val="0"/>
          <w:color w:val="231815"/>
          <w:spacing w:val="0"/>
          <w:sz w:val="18"/>
          <w:szCs w:val="18"/>
          <w:u w:val="none"/>
          <w:lang w:val="en-US" w:eastAsia="zh-CN"/>
        </w:rPr>
      </w:pPr>
      <w:r>
        <w:rPr>
          <w:rFonts w:hint="eastAsia" w:asciiTheme="minorEastAsia" w:hAnsiTheme="minorEastAsia" w:eastAsiaTheme="minorEastAsia" w:cstheme="minorEastAsia"/>
          <w:b w:val="0"/>
          <w:bCs/>
          <w:i w:val="0"/>
          <w:caps w:val="0"/>
          <w:color w:val="231815"/>
          <w:spacing w:val="0"/>
          <w:sz w:val="18"/>
          <w:szCs w:val="18"/>
          <w:u w:val="none"/>
          <w:lang w:val="en-US" w:eastAsia="zh-CN"/>
        </w:rPr>
        <w:t>Progress in Modern Biomedicine</w:t>
      </w:r>
      <w:r>
        <w:rPr>
          <w:rFonts w:hint="eastAsia" w:asciiTheme="minorEastAsia" w:hAnsiTheme="minorEastAsia" w:cstheme="minorEastAsia"/>
          <w:b w:val="0"/>
          <w:bCs/>
          <w:i w:val="0"/>
          <w:caps w:val="0"/>
          <w:color w:val="231815"/>
          <w:spacing w:val="0"/>
          <w:sz w:val="18"/>
          <w:szCs w:val="18"/>
          <w:u w:val="none"/>
          <w:lang w:val="en-US" w:eastAsia="zh-CN"/>
        </w:rPr>
        <w:t xml:space="preserve">   </w:t>
      </w:r>
      <w:r>
        <w:rPr>
          <w:rFonts w:hint="eastAsia" w:asciiTheme="minorEastAsia" w:hAnsiTheme="minorEastAsia" w:eastAsiaTheme="minorEastAsia" w:cstheme="minorEastAsia"/>
          <w:b w:val="0"/>
          <w:bCs/>
          <w:i w:val="0"/>
          <w:caps w:val="0"/>
          <w:color w:val="231815"/>
          <w:spacing w:val="0"/>
          <w:sz w:val="18"/>
          <w:szCs w:val="18"/>
          <w:u w:val="none"/>
          <w:lang w:val="en-US" w:eastAsia="zh-CN"/>
        </w:rPr>
        <w:t xml:space="preserve">2019年13期 </w:t>
      </w:r>
    </w:p>
    <w:p>
      <w:pPr>
        <w:widowControl w:val="0"/>
        <w:numPr>
          <w:ilvl w:val="0"/>
          <w:numId w:val="0"/>
        </w:numPr>
        <w:jc w:val="left"/>
        <w:rPr>
          <w:rFonts w:hint="eastAsia" w:asciiTheme="minorEastAsia" w:hAnsiTheme="minorEastAsia" w:eastAsiaTheme="minorEastAsia" w:cstheme="minorEastAsia"/>
          <w:b w:val="0"/>
          <w:bCs/>
          <w:i w:val="0"/>
          <w:caps w:val="0"/>
          <w:color w:val="231815"/>
          <w:spacing w:val="0"/>
          <w:sz w:val="18"/>
          <w:szCs w:val="18"/>
          <w:u w:val="none"/>
          <w:lang w:val="en-US" w:eastAsia="zh-CN"/>
        </w:rPr>
      </w:pPr>
      <w:r>
        <w:rPr>
          <w:rFonts w:hint="eastAsia" w:asciiTheme="minorEastAsia" w:hAnsiTheme="minorEastAsia" w:cstheme="minorEastAsia"/>
          <w:b w:val="0"/>
          <w:bCs/>
          <w:i w:val="0"/>
          <w:caps w:val="0"/>
          <w:color w:val="231815"/>
          <w:spacing w:val="0"/>
          <w:sz w:val="18"/>
          <w:szCs w:val="18"/>
          <w:u w:val="none"/>
          <w:lang w:val="en-US" w:eastAsia="zh-CN"/>
        </w:rPr>
        <w:t>[3]Okita K，Yamanaka S． Induced pluripotent stem cells: op- portunities and challenges． Philos Trans R Soc Lond B Biol Sci，2011，3662198 ～ 2207．</w:t>
      </w:r>
    </w:p>
    <w:p>
      <w:pPr>
        <w:widowControl w:val="0"/>
        <w:numPr>
          <w:ilvl w:val="0"/>
          <w:numId w:val="0"/>
        </w:numPr>
        <w:ind w:leftChars="0"/>
        <w:jc w:val="left"/>
        <w:rPr>
          <w:rFonts w:hint="eastAsia"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[4]诱导多能性干细胞重编程方法及应用研究进展  卢电、谢英俊、孙筱放 实用医学杂志</w:t>
      </w:r>
    </w:p>
    <w:p>
      <w:pPr>
        <w:widowControl w:val="0"/>
        <w:numPr>
          <w:ilvl w:val="0"/>
          <w:numId w:val="0"/>
        </w:numPr>
        <w:ind w:leftChars="0"/>
        <w:jc w:val="left"/>
        <w:rPr>
          <w:rFonts w:hint="eastAsia"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 xml:space="preserve">The Journal of Practical Medicine  2019年11期 </w:t>
      </w:r>
    </w:p>
    <w:p>
      <w:pPr>
        <w:widowControl w:val="0"/>
        <w:numPr>
          <w:ilvl w:val="0"/>
          <w:numId w:val="0"/>
        </w:numPr>
        <w:ind w:leftChars="0"/>
        <w:jc w:val="left"/>
        <w:rPr>
          <w:rFonts w:hint="default" w:asciiTheme="minorEastAsia" w:hAnsiTheme="minorEastAsia" w:cstheme="minorEastAsia"/>
          <w:b w:val="0"/>
          <w:bCs w:val="0"/>
          <w:sz w:val="18"/>
          <w:szCs w:val="18"/>
          <w:lang w:val="en-US" w:eastAsia="zh-CN"/>
        </w:rPr>
      </w:pPr>
      <w:r>
        <w:rPr>
          <w:rFonts w:hint="eastAsia" w:asciiTheme="minorEastAsia" w:hAnsiTheme="minorEastAsia" w:cstheme="minorEastAsia"/>
          <w:b w:val="0"/>
          <w:bCs w:val="0"/>
          <w:sz w:val="18"/>
          <w:szCs w:val="18"/>
          <w:lang w:val="en-US" w:eastAsia="zh-CN"/>
        </w:rPr>
        <w:t>[5]诱导多能干细胞的研究现状及展望    褚海涛、李晓蕾、贾心善    中国组织工程研究  Chinese Journal of Tissue Engineering Research June 4,2013 Vol.17,No.23</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EE65E1"/>
    <w:multiLevelType w:val="singleLevel"/>
    <w:tmpl w:val="82EE65E1"/>
    <w:lvl w:ilvl="0" w:tentative="0">
      <w:start w:val="1"/>
      <w:numFmt w:val="decimal"/>
      <w:lvlText w:val="[%1]"/>
      <w:lvlJc w:val="left"/>
      <w:pPr>
        <w:tabs>
          <w:tab w:val="left" w:pos="312"/>
        </w:tabs>
      </w:pPr>
    </w:lvl>
  </w:abstractNum>
  <w:abstractNum w:abstractNumId="1">
    <w:nsid w:val="42C798C8"/>
    <w:multiLevelType w:val="singleLevel"/>
    <w:tmpl w:val="42C798C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F1E76"/>
    <w:rsid w:val="015F7DE1"/>
    <w:rsid w:val="02B50415"/>
    <w:rsid w:val="04413DD0"/>
    <w:rsid w:val="06D107C2"/>
    <w:rsid w:val="07BF1E76"/>
    <w:rsid w:val="085A531D"/>
    <w:rsid w:val="089B4557"/>
    <w:rsid w:val="0DB54BD9"/>
    <w:rsid w:val="12997776"/>
    <w:rsid w:val="13E02661"/>
    <w:rsid w:val="1464499C"/>
    <w:rsid w:val="14980417"/>
    <w:rsid w:val="16390CAC"/>
    <w:rsid w:val="1EFB3727"/>
    <w:rsid w:val="20EF7895"/>
    <w:rsid w:val="23420C3E"/>
    <w:rsid w:val="24DA3F87"/>
    <w:rsid w:val="26A4090F"/>
    <w:rsid w:val="2AD839F9"/>
    <w:rsid w:val="2C333FF7"/>
    <w:rsid w:val="2D8F4600"/>
    <w:rsid w:val="2D991AED"/>
    <w:rsid w:val="313928AF"/>
    <w:rsid w:val="339245BC"/>
    <w:rsid w:val="39342394"/>
    <w:rsid w:val="3B2F2A06"/>
    <w:rsid w:val="3D7E021F"/>
    <w:rsid w:val="3F01272E"/>
    <w:rsid w:val="4738149A"/>
    <w:rsid w:val="4E6A55E1"/>
    <w:rsid w:val="52B63416"/>
    <w:rsid w:val="53B96ABA"/>
    <w:rsid w:val="54C3125F"/>
    <w:rsid w:val="5502256E"/>
    <w:rsid w:val="55711DAB"/>
    <w:rsid w:val="57B8479D"/>
    <w:rsid w:val="5A795AE0"/>
    <w:rsid w:val="5E152785"/>
    <w:rsid w:val="5F84478B"/>
    <w:rsid w:val="600B7CE5"/>
    <w:rsid w:val="60780F7E"/>
    <w:rsid w:val="61EE29BD"/>
    <w:rsid w:val="62180ABB"/>
    <w:rsid w:val="632C4197"/>
    <w:rsid w:val="65070DC6"/>
    <w:rsid w:val="665B2165"/>
    <w:rsid w:val="69611313"/>
    <w:rsid w:val="6A5871B0"/>
    <w:rsid w:val="6A850298"/>
    <w:rsid w:val="6BD31884"/>
    <w:rsid w:val="6D3000F9"/>
    <w:rsid w:val="6D837E64"/>
    <w:rsid w:val="6DBB3AC4"/>
    <w:rsid w:val="719F1364"/>
    <w:rsid w:val="74D0795F"/>
    <w:rsid w:val="75DE1F61"/>
    <w:rsid w:val="76786D4A"/>
    <w:rsid w:val="768C4362"/>
    <w:rsid w:val="771451E6"/>
    <w:rsid w:val="77E72E28"/>
    <w:rsid w:val="77FF2768"/>
    <w:rsid w:val="7A704CFD"/>
    <w:rsid w:val="7E5F2CA5"/>
    <w:rsid w:val="7FAD2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caption"/>
    <w:basedOn w:val="1"/>
    <w:next w:val="1"/>
    <w:semiHidden/>
    <w:unhideWhenUsed/>
    <w:qFormat/>
    <w:uiPriority w:val="0"/>
    <w:rPr>
      <w:rFonts w:ascii="Arial" w:hAnsi="Arial" w:eastAsia="黑体"/>
      <w:sz w:val="20"/>
    </w:rPr>
  </w:style>
  <w:style w:type="paragraph" w:styleId="4">
    <w:name w:val="Body Text"/>
    <w:basedOn w:val="1"/>
    <w:qFormat/>
    <w:uiPriority w:val="1"/>
    <w:rPr>
      <w:rFonts w:ascii="宋体" w:hAnsi="宋体" w:eastAsia="宋体" w:cs="宋体"/>
      <w:sz w:val="17"/>
      <w:szCs w:val="17"/>
      <w:lang w:val="zh-CN" w:eastAsia="zh-CN" w:bidi="zh-CN"/>
    </w:rPr>
  </w:style>
  <w:style w:type="paragraph" w:styleId="5">
    <w:name w:val="endnote text"/>
    <w:basedOn w:val="1"/>
    <w:qFormat/>
    <w:uiPriority w:val="0"/>
    <w:pPr>
      <w:snapToGrid w:val="0"/>
      <w:jc w:val="left"/>
    </w:pPr>
  </w:style>
  <w:style w:type="paragraph" w:styleId="6">
    <w:name w:val="footnote text"/>
    <w:basedOn w:val="1"/>
    <w:uiPriority w:val="0"/>
    <w:pPr>
      <w:snapToGrid w:val="0"/>
      <w:jc w:val="left"/>
    </w:pPr>
    <w:rPr>
      <w:sz w:val="18"/>
    </w:rPr>
  </w:style>
  <w:style w:type="character" w:styleId="9">
    <w:name w:val="endnote reference"/>
    <w:basedOn w:val="8"/>
    <w:qFormat/>
    <w:uiPriority w:val="0"/>
    <w:rPr>
      <w:vertAlign w:val="superscript"/>
    </w:rPr>
  </w:style>
  <w:style w:type="character" w:styleId="10">
    <w:name w:val="Hyperlink"/>
    <w:basedOn w:val="8"/>
    <w:uiPriority w:val="0"/>
    <w:rPr>
      <w:color w:val="0000FF"/>
      <w:u w:val="single"/>
    </w:rPr>
  </w:style>
  <w:style w:type="character" w:styleId="11">
    <w:name w:val="footnote reference"/>
    <w:basedOn w:val="8"/>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2019-10-05T07:54:00Z</dcterms:created>
  <dc:creator>薄凉1412602515</dc:creator>
  <cp:lastModifiedBy>薄凉1412602515</cp:lastModifiedBy>
  <dcterms:modified xsi:type="dcterms:W3CDTF">2019-10-05T14:04:49Z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