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BF" w:rsidRPr="007B34F5" w:rsidRDefault="00BB7FBF" w:rsidP="00BB7FBF">
      <w:pPr>
        <w:rPr>
          <w:rFonts w:ascii="Times New Roman" w:hAnsi="Times New Roman" w:cs="Times New Roman"/>
        </w:rPr>
      </w:pPr>
      <w:r w:rsidRPr="007B34F5">
        <w:rPr>
          <w:rFonts w:ascii="Times New Roman" w:hAnsi="Times New Roman" w:cs="Times New Roman"/>
        </w:rPr>
        <w:t>School of Publ</w:t>
      </w:r>
      <w:r>
        <w:rPr>
          <w:rFonts w:ascii="Times New Roman" w:hAnsi="Times New Roman" w:cs="Times New Roman"/>
        </w:rPr>
        <w:t xml:space="preserve">ic Health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PHPM1100</w:t>
      </w:r>
      <w:r w:rsidRPr="007B34F5">
        <w:rPr>
          <w:rFonts w:ascii="Times New Roman" w:hAnsi="Times New Roman" w:cs="Times New Roman"/>
        </w:rPr>
        <w:t>62</w:t>
      </w:r>
    </w:p>
    <w:p w:rsidR="00BB7FBF" w:rsidRPr="007B34F5" w:rsidRDefault="00BB7FBF" w:rsidP="00BB7FBF">
      <w:pPr>
        <w:rPr>
          <w:rFonts w:ascii="Times New Roman" w:hAnsi="Times New Roman" w:cs="Times New Roman" w:hint="eastAsia"/>
        </w:rPr>
      </w:pPr>
      <w:r w:rsidRPr="007B34F5">
        <w:rPr>
          <w:rFonts w:ascii="Times New Roman" w:hAnsi="Times New Roman" w:cs="Times New Roman"/>
        </w:rPr>
        <w:t>Mengc</w:t>
      </w:r>
      <w:r>
        <w:rPr>
          <w:rFonts w:ascii="Times New Roman" w:hAnsi="Times New Roman" w:cs="Times New Roman"/>
        </w:rPr>
        <w:t>en Qian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</w:t>
      </w:r>
      <w:r>
        <w:rPr>
          <w:rFonts w:ascii="Times New Roman" w:hAnsi="Times New Roman" w:cs="Times New Roman" w:hint="eastAsia"/>
        </w:rPr>
        <w:t>7</w:t>
      </w:r>
    </w:p>
    <w:p w:rsidR="00BB7FBF" w:rsidRPr="00C06D87" w:rsidRDefault="00BB7FBF" w:rsidP="00BB7FBF">
      <w:pPr>
        <w:jc w:val="center"/>
        <w:rPr>
          <w:rFonts w:ascii="Times New Roman" w:hAnsi="Times New Roman" w:cs="Times New Roman"/>
          <w:b/>
        </w:rPr>
      </w:pPr>
      <w:r w:rsidRPr="00C06D87">
        <w:rPr>
          <w:rFonts w:ascii="Times New Roman" w:hAnsi="Times New Roman" w:cs="Times New Roman"/>
          <w:b/>
        </w:rPr>
        <w:t xml:space="preserve">Problem Set </w:t>
      </w:r>
      <w:r>
        <w:rPr>
          <w:rFonts w:ascii="Times New Roman" w:hAnsi="Times New Roman" w:cs="Times New Roman" w:hint="eastAsia"/>
          <w:b/>
        </w:rPr>
        <w:t>6</w:t>
      </w:r>
    </w:p>
    <w:p w:rsidR="00BB7FBF" w:rsidRPr="00C06D87" w:rsidRDefault="00BB7FBF" w:rsidP="00BB7F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on 05/</w:t>
      </w:r>
      <w:r>
        <w:rPr>
          <w:rFonts w:ascii="Times New Roman" w:hAnsi="Times New Roman" w:cs="Times New Roman" w:hint="eastAsia"/>
          <w:b/>
        </w:rPr>
        <w:t>19</w:t>
      </w:r>
    </w:p>
    <w:p w:rsidR="001C5AA0" w:rsidRDefault="00BB7FBF">
      <w:r>
        <w:t>The following problem set question comes from your slides, “Panel data models: methods”.</w:t>
      </w:r>
    </w:p>
    <w:p w:rsidR="00BB7FBF" w:rsidRDefault="00BB7FBF">
      <w:r>
        <w:t xml:space="preserve">Suppose that you are interested in the relationship between the death penalty and the murder rate in the US, and you collect data on the murder rate in </w:t>
      </w:r>
      <w:r w:rsidR="00457340">
        <w:t>the 50 states for 1990 and 1993. Results are summarized in the following table.</w:t>
      </w:r>
    </w:p>
    <w:tbl>
      <w:tblPr>
        <w:tblW w:w="59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40"/>
        <w:gridCol w:w="1140"/>
        <w:gridCol w:w="1140"/>
      </w:tblGrid>
      <w:tr w:rsidR="00457340" w:rsidRPr="00457340" w:rsidTr="00457340">
        <w:trPr>
          <w:trHeight w:val="300"/>
          <w:jc w:val="center"/>
        </w:trPr>
        <w:tc>
          <w:tcPr>
            <w:tcW w:w="364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proofErr w:type="gramStart"/>
            <w:r w:rsidRPr="00457340">
              <w:t>y</w:t>
            </w:r>
            <w:proofErr w:type="gramEnd"/>
            <w:r w:rsidRPr="00457340">
              <w:t xml:space="preserve"> = murders per 100,000 people 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(1)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(2)</w:t>
            </w:r>
          </w:p>
        </w:tc>
      </w:tr>
      <w:tr w:rsidR="00457340" w:rsidRPr="00457340" w:rsidTr="00457340">
        <w:trPr>
          <w:trHeight w:val="300"/>
          <w:jc w:val="center"/>
        </w:trPr>
        <w:tc>
          <w:tcPr>
            <w:tcW w:w="3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 xml:space="preserve">　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 xml:space="preserve">　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 xml:space="preserve">　</w:t>
            </w:r>
          </w:p>
        </w:tc>
      </w:tr>
      <w:tr w:rsidR="00457340" w:rsidRPr="00457340" w:rsidTr="00457340">
        <w:trPr>
          <w:trHeight w:val="30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Executions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0.90***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-0.10**</w:t>
            </w:r>
          </w:p>
        </w:tc>
      </w:tr>
      <w:tr w:rsidR="00457340" w:rsidRPr="00457340" w:rsidTr="00457340">
        <w:trPr>
          <w:trHeight w:val="30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(0.220)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(0.040)</w:t>
            </w:r>
          </w:p>
        </w:tc>
      </w:tr>
      <w:tr w:rsidR="00457340" w:rsidRPr="00457340" w:rsidTr="00457340">
        <w:trPr>
          <w:trHeight w:val="30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/>
        </w:tc>
      </w:tr>
      <w:tr w:rsidR="00457340" w:rsidRPr="00457340" w:rsidTr="00457340">
        <w:trPr>
          <w:trHeight w:val="30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Observations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100</w:t>
            </w:r>
          </w:p>
        </w:tc>
      </w:tr>
      <w:tr w:rsidR="00457340" w:rsidRPr="00457340" w:rsidTr="00457340">
        <w:trPr>
          <w:trHeight w:val="300"/>
          <w:jc w:val="center"/>
        </w:trPr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State FE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57340" w:rsidRPr="00457340" w:rsidRDefault="00457340" w:rsidP="00457340">
            <w:r w:rsidRPr="00457340">
              <w:t>Yes</w:t>
            </w:r>
          </w:p>
        </w:tc>
      </w:tr>
    </w:tbl>
    <w:p w:rsidR="00457340" w:rsidRDefault="00457340"/>
    <w:p w:rsidR="00457340" w:rsidRDefault="00457340" w:rsidP="00457340">
      <w:pPr>
        <w:pStyle w:val="a3"/>
        <w:numPr>
          <w:ilvl w:val="0"/>
          <w:numId w:val="1"/>
        </w:numPr>
        <w:ind w:firstLineChars="0"/>
      </w:pPr>
      <w:r>
        <w:t>What type of dataset are we using in the above analysis? (</w:t>
      </w:r>
      <w:r w:rsidRPr="00374CBF">
        <w:rPr>
          <w:i/>
        </w:rPr>
        <w:t>Hint: time series, panel data, or cross sectional data</w:t>
      </w:r>
      <w:r>
        <w:t>)</w:t>
      </w:r>
    </w:p>
    <w:p w:rsidR="00374CBF" w:rsidRDefault="00457340" w:rsidP="00457340">
      <w:pPr>
        <w:pStyle w:val="a3"/>
        <w:numPr>
          <w:ilvl w:val="0"/>
          <w:numId w:val="1"/>
        </w:numPr>
        <w:ind w:firstLineChars="0"/>
      </w:pPr>
      <w:r>
        <w:t>What might be the explanation for the unexpected positive impact of</w:t>
      </w:r>
      <w:r w:rsidR="00374CBF">
        <w:t xml:space="preserve"> executions in col</w:t>
      </w:r>
      <w:proofErr w:type="gramStart"/>
      <w:r w:rsidR="00374CBF">
        <w:t>.(</w:t>
      </w:r>
      <w:proofErr w:type="gramEnd"/>
      <w:r w:rsidR="00374CBF">
        <w:t>1)? (</w:t>
      </w:r>
      <w:r w:rsidR="00374CBF" w:rsidRPr="00374CBF">
        <w:rPr>
          <w:i/>
        </w:rPr>
        <w:t>Hint: W</w:t>
      </w:r>
      <w:r w:rsidRPr="00374CBF">
        <w:rPr>
          <w:i/>
        </w:rPr>
        <w:t xml:space="preserve">e’ve covered several model issues, </w:t>
      </w:r>
      <w:proofErr w:type="spellStart"/>
      <w:r w:rsidRPr="00374CBF">
        <w:rPr>
          <w:i/>
        </w:rPr>
        <w:t>heteroskedasticity</w:t>
      </w:r>
      <w:proofErr w:type="spellEnd"/>
      <w:r w:rsidRPr="00374CBF">
        <w:rPr>
          <w:i/>
        </w:rPr>
        <w:t xml:space="preserve">, </w:t>
      </w:r>
      <w:proofErr w:type="spellStart"/>
      <w:r w:rsidRPr="00374CBF">
        <w:rPr>
          <w:i/>
        </w:rPr>
        <w:t>endogeneity</w:t>
      </w:r>
      <w:proofErr w:type="spellEnd"/>
      <w:r w:rsidRPr="00374CBF">
        <w:rPr>
          <w:i/>
        </w:rPr>
        <w:t xml:space="preserve"> (omitted variable bias), serial correlation,</w:t>
      </w:r>
      <w:r w:rsidR="00374CBF" w:rsidRPr="00374CBF">
        <w:rPr>
          <w:i/>
        </w:rPr>
        <w:t xml:space="preserve"> </w:t>
      </w:r>
      <w:proofErr w:type="spellStart"/>
      <w:r w:rsidR="00374CBF" w:rsidRPr="00374CBF">
        <w:rPr>
          <w:i/>
        </w:rPr>
        <w:t>collinearity</w:t>
      </w:r>
      <w:proofErr w:type="spellEnd"/>
      <w:r w:rsidR="00374CBF" w:rsidRPr="00374CBF">
        <w:rPr>
          <w:i/>
        </w:rPr>
        <w:t>, and irrelevant variable. Which one do you think could be the best explanation?</w:t>
      </w:r>
      <w:r>
        <w:t>)</w:t>
      </w:r>
    </w:p>
    <w:p w:rsidR="00457340" w:rsidRDefault="00374CBF" w:rsidP="00457340">
      <w:pPr>
        <w:pStyle w:val="a3"/>
        <w:numPr>
          <w:ilvl w:val="0"/>
          <w:numId w:val="1"/>
        </w:numPr>
        <w:ind w:firstLineChars="0"/>
      </w:pPr>
      <w:r>
        <w:t xml:space="preserve">Assume that we are not able to fix Model (1) by adding variables (observables). Instead, we include state fixed effects in the regression. That is, we fit a fixed-effect model to the data. </w:t>
      </w:r>
      <w:r w:rsidR="00457340">
        <w:t xml:space="preserve">Use your own words to clarify how </w:t>
      </w:r>
      <w:r>
        <w:t xml:space="preserve">and why </w:t>
      </w:r>
      <w:proofErr w:type="gramStart"/>
      <w:r w:rsidR="00457340">
        <w:t>state</w:t>
      </w:r>
      <w:proofErr w:type="gramEnd"/>
      <w:r w:rsidR="00457340">
        <w:t xml:space="preserve"> </w:t>
      </w:r>
      <w:r>
        <w:t>FE would help us? (</w:t>
      </w:r>
      <w:r w:rsidRPr="00374CBF">
        <w:rPr>
          <w:i/>
        </w:rPr>
        <w:t xml:space="preserve">Hint: what </w:t>
      </w:r>
      <w:r>
        <w:rPr>
          <w:i/>
        </w:rPr>
        <w:t>does state FE capture? With state FE, what kind of variations in the variable ‘Executions’ contribute to the identification of its impact on mur</w:t>
      </w:r>
      <w:bookmarkStart w:id="0" w:name="_GoBack"/>
      <w:bookmarkEnd w:id="0"/>
      <w:r>
        <w:rPr>
          <w:i/>
        </w:rPr>
        <w:t>der rate?</w:t>
      </w:r>
      <w:r>
        <w:t>)</w:t>
      </w:r>
    </w:p>
    <w:sectPr w:rsidR="00457340" w:rsidSect="00BB7FBF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C68"/>
    <w:multiLevelType w:val="hybridMultilevel"/>
    <w:tmpl w:val="4DCCEFD6"/>
    <w:lvl w:ilvl="0" w:tplc="CE202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5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BF"/>
    <w:rsid w:val="00061AC8"/>
    <w:rsid w:val="001C5AA0"/>
    <w:rsid w:val="00374CBF"/>
    <w:rsid w:val="00457340"/>
    <w:rsid w:val="00B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EA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B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B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1206</Characters>
  <Application>Microsoft Macintosh Word</Application>
  <DocSecurity>0</DocSecurity>
  <Lines>10</Lines>
  <Paragraphs>2</Paragraphs>
  <ScaleCrop>false</ScaleCrop>
  <Company>Lehigh University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Mengcen Qian</dc:creator>
  <cp:keywords/>
  <dc:description/>
  <cp:lastModifiedBy>Mengcen Qian</cp:lastModifiedBy>
  <cp:revision>1</cp:revision>
  <dcterms:created xsi:type="dcterms:W3CDTF">2017-05-12T08:15:00Z</dcterms:created>
  <dcterms:modified xsi:type="dcterms:W3CDTF">2017-05-12T08:55:00Z</dcterms:modified>
</cp:coreProperties>
</file>