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2B" w:rsidRPr="00E3092B" w:rsidRDefault="00E3092B" w:rsidP="00E3092B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/>
          <w:bCs/>
          <w:kern w:val="44"/>
          <w:sz w:val="44"/>
          <w:szCs w:val="44"/>
        </w:rPr>
      </w:pPr>
      <w:r w:rsidRPr="00E3092B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 w:rsidR="008A6A0F">
        <w:rPr>
          <w:rFonts w:ascii="宋体" w:eastAsia="宋体" w:hAnsi="宋体" w:cs="Times New Roman" w:hint="eastAsia"/>
          <w:bCs/>
          <w:kern w:val="44"/>
          <w:sz w:val="44"/>
          <w:szCs w:val="44"/>
        </w:rPr>
        <w:t>六</w:t>
      </w:r>
      <w:r w:rsidRPr="00E3092B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8A6A0F" w:rsidRPr="008A6A0F" w:rsidRDefault="008A6A0F" w:rsidP="008A6A0F">
      <w:pPr>
        <w:numPr>
          <w:ilvl w:val="0"/>
          <w:numId w:val="2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8A6A0F">
        <w:rPr>
          <w:rFonts w:ascii="Times New Roman" w:eastAsia="宋体" w:hAnsi="Times New Roman" w:cs="Times New Roman" w:hint="eastAsia"/>
          <w:sz w:val="28"/>
          <w:szCs w:val="28"/>
        </w:rPr>
        <w:t>声子的物理动量</w:t>
      </w:r>
    </w:p>
    <w:p w:rsidR="008A6A0F" w:rsidRPr="008A6A0F" w:rsidRDefault="008A6A0F" w:rsidP="008A6A0F">
      <w:pPr>
        <w:numPr>
          <w:ilvl w:val="1"/>
          <w:numId w:val="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8A6A0F">
        <w:rPr>
          <w:rFonts w:ascii="Times New Roman" w:eastAsia="宋体" w:hAnsi="Times New Roman" w:cs="Times New Roman" w:hint="eastAsia"/>
          <w:sz w:val="28"/>
          <w:szCs w:val="28"/>
        </w:rPr>
        <w:t>证明对于波矢为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q</m:t>
        </m:r>
      </m:oMath>
      <w:r w:rsidRPr="008A6A0F">
        <w:rPr>
          <w:rFonts w:ascii="Times New Roman" w:eastAsia="宋体" w:hAnsi="Times New Roman" w:cs="Times New Roman" w:hint="eastAsia"/>
          <w:sz w:val="28"/>
          <w:szCs w:val="28"/>
        </w:rPr>
        <w:t>，频率为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ω</m:t>
        </m:r>
      </m:oMath>
      <w:r w:rsidRPr="008A6A0F">
        <w:rPr>
          <w:rFonts w:ascii="Times New Roman" w:eastAsia="宋体" w:hAnsi="Times New Roman" w:cs="Times New Roman" w:hint="eastAsia"/>
          <w:sz w:val="28"/>
          <w:szCs w:val="28"/>
        </w:rPr>
        <w:t>的格波</w:t>
      </w:r>
    </w:p>
    <w:p w:rsidR="008A6A0F" w:rsidRPr="008A6A0F" w:rsidRDefault="008A6A0F" w:rsidP="008A6A0F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=A</m:t>
          </m:r>
          <m:sSup>
            <m:sSup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qla-ωt</m:t>
                  </m:r>
                </m:e>
              </m:d>
            </m:sup>
          </m:sSup>
        </m:oMath>
      </m:oMathPara>
    </w:p>
    <w:p w:rsidR="008A6A0F" w:rsidRPr="008A6A0F" w:rsidRDefault="008A6A0F" w:rsidP="008A6A0F">
      <w:pPr>
        <w:ind w:leftChars="400" w:left="840"/>
        <w:rPr>
          <w:rFonts w:ascii="Times New Roman" w:eastAsia="宋体" w:hAnsi="Times New Roman" w:cs="Times New Roman"/>
          <w:sz w:val="28"/>
          <w:szCs w:val="28"/>
        </w:rPr>
      </w:pPr>
      <w:r w:rsidRPr="008A6A0F">
        <w:rPr>
          <w:rFonts w:ascii="Times New Roman" w:eastAsia="宋体" w:hAnsi="Times New Roman" w:cs="Times New Roman" w:hint="eastAsia"/>
          <w:sz w:val="28"/>
          <w:szCs w:val="28"/>
        </w:rPr>
        <w:t>一维单原子链的总动量为</w:t>
      </w:r>
    </w:p>
    <w:p w:rsidR="008A6A0F" w:rsidRPr="008A6A0F" w:rsidRDefault="008A6A0F" w:rsidP="008A6A0F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q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=-iω</m:t>
          </m:r>
          <m:sSup>
            <m:sSup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MAe</m:t>
              </m:r>
            </m:e>
            <m:sup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-iωt</m:t>
              </m:r>
            </m:sup>
          </m:sSup>
          <m:nary>
            <m:naryPr>
              <m:chr m:val="∑"/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l=1</m:t>
              </m:r>
            </m:sub>
            <m:sup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iqla</m:t>
                  </m:r>
                </m:sup>
              </m:sSup>
            </m:e>
          </m:nary>
        </m:oMath>
      </m:oMathPara>
    </w:p>
    <w:p w:rsidR="008A6A0F" w:rsidRPr="008A6A0F" w:rsidRDefault="008A6A0F" w:rsidP="008A6A0F">
      <w:pPr>
        <w:numPr>
          <w:ilvl w:val="1"/>
          <w:numId w:val="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8A6A0F">
        <w:rPr>
          <w:rFonts w:ascii="Times New Roman" w:eastAsia="宋体" w:hAnsi="Times New Roman" w:cs="Times New Roman" w:hint="eastAsia"/>
          <w:sz w:val="28"/>
          <w:szCs w:val="28"/>
        </w:rPr>
        <w:t>利用波恩</w:t>
      </w:r>
      <w:r w:rsidRPr="008A6A0F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Pr="008A6A0F">
        <w:rPr>
          <w:rFonts w:ascii="Times New Roman" w:eastAsia="宋体" w:hAnsi="Times New Roman" w:cs="Times New Roman" w:hint="eastAsia"/>
          <w:sz w:val="28"/>
          <w:szCs w:val="28"/>
        </w:rPr>
        <w:t>冯卡门边界条件，证明声子</w:t>
      </w:r>
      <m:oMath>
        <m:d>
          <m:d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q≠0</m:t>
            </m:r>
          </m:e>
        </m:d>
      </m:oMath>
      <w:r w:rsidRPr="008A6A0F">
        <w:rPr>
          <w:rFonts w:ascii="Times New Roman" w:eastAsia="宋体" w:hAnsi="Times New Roman" w:cs="Times New Roman" w:hint="eastAsia"/>
          <w:sz w:val="28"/>
          <w:szCs w:val="28"/>
        </w:rPr>
        <w:t>是不携带物理动量的</w:t>
      </w:r>
    </w:p>
    <w:p w:rsidR="008A6A0F" w:rsidRPr="008A6A0F" w:rsidRDefault="008A6A0F" w:rsidP="008A6A0F">
      <w:pPr>
        <w:numPr>
          <w:ilvl w:val="1"/>
          <w:numId w:val="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8A6A0F">
        <w:rPr>
          <w:rFonts w:ascii="Times New Roman" w:eastAsia="宋体" w:hAnsi="Times New Roman" w:cs="Times New Roman" w:hint="eastAsia"/>
          <w:sz w:val="28"/>
          <w:szCs w:val="28"/>
        </w:rPr>
        <w:t>如果</w:t>
      </w:r>
      <m:oMath>
        <m:func>
          <m:func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宋体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ω→0</m:t>
                </m:r>
              </m:lim>
            </m:limLow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Name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(ωA)</m:t>
            </m: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="宋体" w:hAnsi="Cambria Math" w:cs="Times New Roman"/>
            <w:sz w:val="28"/>
            <w:szCs w:val="28"/>
          </w:rPr>
          <m:t>≠0</m:t>
        </m:r>
      </m:oMath>
      <w:r w:rsidRPr="008A6A0F">
        <w:rPr>
          <w:rFonts w:ascii="Times New Roman" w:eastAsia="宋体" w:hAnsi="Times New Roman" w:cs="Times New Roman" w:hint="eastAsia"/>
          <w:sz w:val="28"/>
          <w:szCs w:val="28"/>
        </w:rPr>
        <w:t>，当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q→0</m:t>
        </m:r>
      </m:oMath>
      <w:r w:rsidRPr="008A6A0F">
        <w:rPr>
          <w:rFonts w:ascii="Times New Roman" w:eastAsia="宋体" w:hAnsi="Times New Roman" w:cs="Times New Roman" w:hint="eastAsia"/>
          <w:sz w:val="28"/>
          <w:szCs w:val="28"/>
        </w:rPr>
        <w:t>时，表示一维单原子链的什么运动？</w:t>
      </w:r>
    </w:p>
    <w:p w:rsidR="00F96BEB" w:rsidRPr="008A6A0F" w:rsidRDefault="00F96BEB">
      <w:bookmarkStart w:id="0" w:name="_GoBack"/>
      <w:bookmarkEnd w:id="0"/>
    </w:p>
    <w:sectPr w:rsidR="00F96BEB" w:rsidRPr="008A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63" w:rsidRDefault="00D71E63" w:rsidP="008A6A0F">
      <w:r>
        <w:separator/>
      </w:r>
    </w:p>
  </w:endnote>
  <w:endnote w:type="continuationSeparator" w:id="0">
    <w:p w:rsidR="00D71E63" w:rsidRDefault="00D71E63" w:rsidP="008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63" w:rsidRDefault="00D71E63" w:rsidP="008A6A0F">
      <w:r>
        <w:separator/>
      </w:r>
    </w:p>
  </w:footnote>
  <w:footnote w:type="continuationSeparator" w:id="0">
    <w:p w:rsidR="00D71E63" w:rsidRDefault="00D71E63" w:rsidP="008A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2B"/>
    <w:rsid w:val="00734B1D"/>
    <w:rsid w:val="008A6A0F"/>
    <w:rsid w:val="00D71E63"/>
    <w:rsid w:val="00E3092B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B372"/>
  <w15:chartTrackingRefBased/>
  <w15:docId w15:val="{ACAB3A47-7F0B-48D5-A9BE-EB27017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6A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6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2</cp:revision>
  <dcterms:created xsi:type="dcterms:W3CDTF">2018-10-16T11:21:00Z</dcterms:created>
  <dcterms:modified xsi:type="dcterms:W3CDTF">2018-10-16T11:21:00Z</dcterms:modified>
</cp:coreProperties>
</file>