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22" w:rsidRPr="00CF7EE8" w:rsidRDefault="000E5622" w:rsidP="00C57F45">
      <w:pPr>
        <w:widowControl/>
        <w:spacing w:before="100" w:beforeAutospacing="1" w:after="100" w:afterAutospacing="1" w:line="240" w:lineRule="auto"/>
        <w:ind w:firstLine="482"/>
        <w:jc w:val="left"/>
        <w:rPr>
          <w:rFonts w:ascii="宋体" w:hAnsi="宋体" w:cs="宋体"/>
          <w:b/>
          <w:kern w:val="0"/>
          <w:szCs w:val="21"/>
        </w:rPr>
      </w:pPr>
      <w:bookmarkStart w:id="0" w:name="_Hlk492575910"/>
    </w:p>
    <w:tbl>
      <w:tblPr>
        <w:tblW w:w="8613" w:type="dxa"/>
        <w:tblLayout w:type="fixed"/>
        <w:tblLook w:val="04A0" w:firstRow="1" w:lastRow="0" w:firstColumn="1" w:lastColumn="0" w:noHBand="0" w:noVBand="1"/>
      </w:tblPr>
      <w:tblGrid>
        <w:gridCol w:w="6408"/>
        <w:gridCol w:w="2205"/>
      </w:tblGrid>
      <w:tr w:rsidR="000E5622" w:rsidRPr="00CF7EE8" w:rsidTr="000E7331">
        <w:tc>
          <w:tcPr>
            <w:tcW w:w="6408" w:type="dxa"/>
          </w:tcPr>
          <w:p w:rsidR="000E5622" w:rsidRPr="00CF7EE8" w:rsidRDefault="000E5622" w:rsidP="00C57F45">
            <w:pPr>
              <w:spacing w:line="240" w:lineRule="auto"/>
              <w:ind w:firstLine="480"/>
              <w:rPr>
                <w:rFonts w:ascii="宋体" w:hAnsi="宋体"/>
              </w:rPr>
            </w:pPr>
          </w:p>
        </w:tc>
        <w:tc>
          <w:tcPr>
            <w:tcW w:w="2205" w:type="dxa"/>
            <w:hideMark/>
          </w:tcPr>
          <w:p w:rsidR="000E5622" w:rsidRPr="00CF7EE8" w:rsidRDefault="000E5622" w:rsidP="00C57F45">
            <w:pPr>
              <w:spacing w:line="240" w:lineRule="auto"/>
              <w:ind w:firstLine="360"/>
              <w:rPr>
                <w:rFonts w:ascii="宋体" w:hAnsi="宋体"/>
                <w:sz w:val="18"/>
              </w:rPr>
            </w:pPr>
            <w:r w:rsidRPr="00CF7EE8">
              <w:rPr>
                <w:rFonts w:ascii="宋体" w:hAnsi="宋体" w:hint="eastAsia"/>
                <w:sz w:val="18"/>
              </w:rPr>
              <w:t>学校代码： 10246</w:t>
            </w:r>
          </w:p>
        </w:tc>
      </w:tr>
      <w:tr w:rsidR="000E5622" w:rsidRPr="00CF7EE8" w:rsidTr="000E7331">
        <w:tc>
          <w:tcPr>
            <w:tcW w:w="6408" w:type="dxa"/>
          </w:tcPr>
          <w:p w:rsidR="000E5622" w:rsidRPr="00CF7EE8" w:rsidRDefault="000E5622" w:rsidP="00C57F45">
            <w:pPr>
              <w:spacing w:line="240" w:lineRule="auto"/>
              <w:ind w:firstLine="560"/>
              <w:jc w:val="right"/>
              <w:rPr>
                <w:rFonts w:ascii="宋体" w:hAnsi="宋体"/>
                <w:sz w:val="28"/>
              </w:rPr>
            </w:pPr>
          </w:p>
        </w:tc>
        <w:tc>
          <w:tcPr>
            <w:tcW w:w="2205" w:type="dxa"/>
          </w:tcPr>
          <w:p w:rsidR="000E5622" w:rsidRPr="00CF7EE8" w:rsidRDefault="000E5622" w:rsidP="00C57F45">
            <w:pPr>
              <w:spacing w:line="240" w:lineRule="auto"/>
              <w:ind w:firstLine="360"/>
              <w:rPr>
                <w:rFonts w:ascii="宋体" w:hAnsi="宋体"/>
                <w:sz w:val="18"/>
              </w:rPr>
            </w:pPr>
          </w:p>
        </w:tc>
      </w:tr>
    </w:tbl>
    <w:p w:rsidR="000E5622" w:rsidRPr="00CF7EE8" w:rsidRDefault="000E5622" w:rsidP="00C57F45">
      <w:pPr>
        <w:spacing w:line="240" w:lineRule="auto"/>
        <w:ind w:firstLine="360"/>
        <w:rPr>
          <w:rFonts w:ascii="宋体" w:hAnsi="宋体"/>
          <w:sz w:val="18"/>
        </w:rPr>
      </w:pPr>
    </w:p>
    <w:p w:rsidR="000E5622" w:rsidRPr="00CF7EE8" w:rsidRDefault="000E5622" w:rsidP="00C57F45">
      <w:pPr>
        <w:spacing w:line="240" w:lineRule="auto"/>
        <w:ind w:firstLineChars="3100" w:firstLine="5580"/>
        <w:rPr>
          <w:rFonts w:ascii="宋体" w:hAnsi="宋体"/>
          <w:sz w:val="18"/>
        </w:rPr>
      </w:pPr>
    </w:p>
    <w:p w:rsidR="000E5622" w:rsidRPr="00CF7EE8" w:rsidRDefault="000E5622" w:rsidP="00C57F45">
      <w:pPr>
        <w:spacing w:line="240" w:lineRule="auto"/>
        <w:ind w:rightChars="199" w:right="478" w:firstLineChars="3100" w:firstLine="5580"/>
        <w:rPr>
          <w:rFonts w:ascii="宋体" w:hAnsi="宋体"/>
          <w:sz w:val="18"/>
        </w:rPr>
      </w:pPr>
      <w:r w:rsidRPr="00CF7EE8">
        <w:rPr>
          <w:rFonts w:ascii="宋体" w:hAnsi="宋体" w:hint="eastAsia"/>
          <w:sz w:val="18"/>
        </w:rPr>
        <w:t xml:space="preserve">  </w:t>
      </w:r>
    </w:p>
    <w:p w:rsidR="000E5622" w:rsidRPr="00C57F45" w:rsidRDefault="000E5622" w:rsidP="00C57F45">
      <w:pPr>
        <w:spacing w:line="240" w:lineRule="auto"/>
        <w:ind w:firstLineChars="900" w:firstLine="2160"/>
        <w:rPr>
          <w:rFonts w:ascii="宋体" w:hAnsi="宋体"/>
        </w:rPr>
      </w:pPr>
      <w:r>
        <w:rPr>
          <w:rFonts w:ascii="宋体" w:hAnsi="宋体"/>
          <w:noProof/>
        </w:rPr>
        <w:drawing>
          <wp:inline distT="0" distB="0" distL="0" distR="0" wp14:anchorId="0E268C67" wp14:editId="77E4F500">
            <wp:extent cx="2762250" cy="102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028700"/>
                    </a:xfrm>
                    <a:prstGeom prst="rect">
                      <a:avLst/>
                    </a:prstGeom>
                    <a:noFill/>
                    <a:ln>
                      <a:noFill/>
                    </a:ln>
                  </pic:spPr>
                </pic:pic>
              </a:graphicData>
            </a:graphic>
          </wp:inline>
        </w:drawing>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528"/>
      </w:tblGrid>
      <w:tr w:rsidR="00686DA9" w:rsidRPr="00CF7EE8" w:rsidTr="000E7331">
        <w:tc>
          <w:tcPr>
            <w:tcW w:w="8528" w:type="dxa"/>
            <w:hideMark/>
          </w:tcPr>
          <w:p w:rsidR="00686DA9" w:rsidRPr="00CF7EE8" w:rsidRDefault="00686DA9" w:rsidP="00686DA9">
            <w:pPr>
              <w:spacing w:line="240" w:lineRule="auto"/>
              <w:ind w:firstLine="880"/>
              <w:jc w:val="center"/>
              <w:rPr>
                <w:rFonts w:ascii="宋体" w:hAnsi="宋体"/>
                <w:sz w:val="44"/>
              </w:rPr>
            </w:pPr>
            <w:r w:rsidRPr="00317BE5">
              <w:rPr>
                <w:rFonts w:ascii="宋体" w:hAnsi="宋体" w:hint="eastAsia"/>
                <w:sz w:val="44"/>
              </w:rPr>
              <w:t>中 期 考 核 案 例</w:t>
            </w:r>
          </w:p>
        </w:tc>
      </w:tr>
    </w:tbl>
    <w:p w:rsidR="00686DA9" w:rsidRPr="00CF7EE8" w:rsidRDefault="00686DA9" w:rsidP="00686DA9">
      <w:pPr>
        <w:spacing w:line="240" w:lineRule="auto"/>
        <w:ind w:firstLine="602"/>
        <w:rPr>
          <w:rFonts w:ascii="宋体" w:hAnsi="宋体"/>
          <w:b/>
          <w:sz w:val="32"/>
        </w:rPr>
      </w:pPr>
      <w:r w:rsidRPr="00CF7EE8">
        <w:rPr>
          <w:rFonts w:ascii="宋体" w:hAnsi="宋体" w:hint="eastAsia"/>
          <w:b/>
          <w:bCs/>
          <w:sz w:val="30"/>
        </w:rPr>
        <w:t xml:space="preserve">              </w:t>
      </w:r>
      <w:r w:rsidRPr="00CF7EE8">
        <w:rPr>
          <w:rFonts w:ascii="宋体" w:hAnsi="宋体" w:hint="eastAsia"/>
          <w:b/>
          <w:sz w:val="30"/>
        </w:rPr>
        <w:t xml:space="preserve">   </w:t>
      </w:r>
      <w:r w:rsidR="007F1F5B">
        <w:rPr>
          <w:rFonts w:ascii="宋体" w:hAnsi="宋体"/>
          <w:b/>
          <w:sz w:val="30"/>
        </w:rPr>
        <w:t xml:space="preserve">    </w:t>
      </w:r>
      <w:r w:rsidRPr="00CF7EE8">
        <w:rPr>
          <w:rFonts w:ascii="宋体" w:hAnsi="宋体" w:hint="eastAsia"/>
          <w:b/>
          <w:sz w:val="30"/>
        </w:rPr>
        <w:t>（专业学位）</w:t>
      </w:r>
    </w:p>
    <w:p w:rsidR="000E5622" w:rsidRDefault="000E5622" w:rsidP="00C57F45">
      <w:pPr>
        <w:spacing w:line="240" w:lineRule="auto"/>
        <w:ind w:firstLine="602"/>
        <w:rPr>
          <w:rFonts w:ascii="宋体" w:hAnsi="宋体"/>
          <w:b/>
          <w:bCs/>
          <w:sz w:val="30"/>
        </w:rPr>
      </w:pPr>
    </w:p>
    <w:p w:rsidR="00686DA9" w:rsidRPr="00CF7EE8" w:rsidRDefault="00686DA9" w:rsidP="00C57F45">
      <w:pPr>
        <w:spacing w:line="240" w:lineRule="auto"/>
        <w:ind w:firstLine="602"/>
        <w:rPr>
          <w:rFonts w:ascii="宋体" w:hAnsi="宋体"/>
          <w:b/>
          <w:bCs/>
          <w:sz w:val="3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528"/>
      </w:tblGrid>
      <w:tr w:rsidR="000E5622" w:rsidRPr="00CF7EE8" w:rsidTr="000E7331">
        <w:tc>
          <w:tcPr>
            <w:tcW w:w="8528" w:type="dxa"/>
            <w:hideMark/>
          </w:tcPr>
          <w:p w:rsidR="000E5622" w:rsidRPr="00CF7EE8" w:rsidRDefault="000E5622" w:rsidP="00C57F45">
            <w:pPr>
              <w:spacing w:line="240" w:lineRule="auto"/>
              <w:ind w:firstLine="723"/>
              <w:jc w:val="center"/>
              <w:rPr>
                <w:rFonts w:ascii="宋体" w:hAnsi="宋体"/>
                <w:b/>
                <w:bCs/>
                <w:sz w:val="36"/>
              </w:rPr>
            </w:pPr>
            <w:proofErr w:type="gramStart"/>
            <w:r w:rsidRPr="00AE3D1F">
              <w:rPr>
                <w:rFonts w:ascii="宋体" w:hAnsi="宋体" w:hint="eastAsia"/>
                <w:b/>
                <w:sz w:val="36"/>
                <w:szCs w:val="36"/>
              </w:rPr>
              <w:t>议儿童</w:t>
            </w:r>
            <w:proofErr w:type="gramEnd"/>
            <w:r w:rsidRPr="00AE3D1F">
              <w:rPr>
                <w:rFonts w:ascii="宋体" w:hAnsi="宋体" w:hint="eastAsia"/>
                <w:b/>
                <w:sz w:val="36"/>
                <w:szCs w:val="36"/>
              </w:rPr>
              <w:t>投资主基金间接转让股权税务</w:t>
            </w:r>
            <w:proofErr w:type="gramStart"/>
            <w:r w:rsidRPr="00AE3D1F">
              <w:rPr>
                <w:rFonts w:ascii="宋体" w:hAnsi="宋体" w:hint="eastAsia"/>
                <w:b/>
                <w:sz w:val="36"/>
                <w:szCs w:val="36"/>
              </w:rPr>
              <w:t>征收案</w:t>
            </w:r>
            <w:proofErr w:type="gramEnd"/>
          </w:p>
        </w:tc>
      </w:tr>
    </w:tbl>
    <w:p w:rsidR="000E5622" w:rsidRPr="00CF7EE8" w:rsidRDefault="000E5622" w:rsidP="00C57F45">
      <w:pPr>
        <w:spacing w:line="240" w:lineRule="auto"/>
        <w:ind w:firstLine="480"/>
        <w:rPr>
          <w:rFonts w:ascii="宋体" w:hAnsi="宋体"/>
        </w:rPr>
      </w:pPr>
    </w:p>
    <w:tbl>
      <w:tblPr>
        <w:tblW w:w="0" w:type="auto"/>
        <w:tblLook w:val="01E0" w:firstRow="1" w:lastRow="1" w:firstColumn="1" w:lastColumn="1" w:noHBand="0" w:noVBand="0"/>
      </w:tblPr>
      <w:tblGrid>
        <w:gridCol w:w="8306"/>
      </w:tblGrid>
      <w:tr w:rsidR="000E5622" w:rsidRPr="00CF7EE8" w:rsidTr="000E7331">
        <w:trPr>
          <w:trHeight w:val="768"/>
        </w:trPr>
        <w:tc>
          <w:tcPr>
            <w:tcW w:w="8522" w:type="dxa"/>
            <w:vAlign w:val="center"/>
            <w:hideMark/>
          </w:tcPr>
          <w:p w:rsidR="000E5622" w:rsidRPr="00CF7EE8" w:rsidRDefault="000E5622" w:rsidP="00C57F45">
            <w:pPr>
              <w:spacing w:line="240" w:lineRule="auto"/>
              <w:ind w:firstLine="562"/>
              <w:jc w:val="center"/>
              <w:rPr>
                <w:b/>
                <w:sz w:val="28"/>
                <w:szCs w:val="28"/>
              </w:rPr>
            </w:pPr>
            <w:r>
              <w:rPr>
                <w:b/>
                <w:sz w:val="28"/>
                <w:szCs w:val="28"/>
              </w:rPr>
              <w:t>C</w:t>
            </w:r>
            <w:r>
              <w:rPr>
                <w:rFonts w:hint="eastAsia"/>
                <w:b/>
                <w:sz w:val="28"/>
                <w:szCs w:val="28"/>
              </w:rPr>
              <w:t>omments</w:t>
            </w:r>
            <w:r>
              <w:rPr>
                <w:b/>
                <w:sz w:val="28"/>
                <w:szCs w:val="28"/>
              </w:rPr>
              <w:t xml:space="preserve"> on Indirect T</w:t>
            </w:r>
            <w:r w:rsidRPr="00AE3D1F">
              <w:rPr>
                <w:b/>
                <w:sz w:val="28"/>
                <w:szCs w:val="28"/>
              </w:rPr>
              <w:t xml:space="preserve">ransfer of </w:t>
            </w:r>
            <w:r>
              <w:rPr>
                <w:b/>
                <w:sz w:val="28"/>
                <w:szCs w:val="28"/>
              </w:rPr>
              <w:t>E</w:t>
            </w:r>
            <w:r w:rsidRPr="00AE3D1F">
              <w:rPr>
                <w:b/>
                <w:sz w:val="28"/>
                <w:szCs w:val="28"/>
              </w:rPr>
              <w:t xml:space="preserve">quity </w:t>
            </w:r>
            <w:r>
              <w:rPr>
                <w:b/>
                <w:sz w:val="28"/>
                <w:szCs w:val="28"/>
              </w:rPr>
              <w:t>I</w:t>
            </w:r>
            <w:r w:rsidRPr="00AE3D1F">
              <w:rPr>
                <w:b/>
                <w:sz w:val="28"/>
                <w:szCs w:val="28"/>
              </w:rPr>
              <w:t xml:space="preserve">nvestment </w:t>
            </w:r>
            <w:r>
              <w:rPr>
                <w:rFonts w:hint="eastAsia"/>
                <w:b/>
                <w:sz w:val="28"/>
                <w:szCs w:val="28"/>
              </w:rPr>
              <w:t>of</w:t>
            </w:r>
            <w:r>
              <w:rPr>
                <w:b/>
                <w:sz w:val="28"/>
                <w:szCs w:val="28"/>
              </w:rPr>
              <w:t xml:space="preserve"> </w:t>
            </w:r>
            <w:r w:rsidRPr="00AE3D1F">
              <w:rPr>
                <w:b/>
                <w:sz w:val="28"/>
                <w:szCs w:val="28"/>
              </w:rPr>
              <w:t>The Children’s Investment Master Fund</w:t>
            </w:r>
          </w:p>
        </w:tc>
      </w:tr>
    </w:tbl>
    <w:p w:rsidR="000E5622" w:rsidRPr="00CF7EE8" w:rsidRDefault="000E5622" w:rsidP="00C57F45">
      <w:pPr>
        <w:spacing w:line="240" w:lineRule="auto"/>
        <w:ind w:firstLine="480"/>
        <w:rPr>
          <w:rFonts w:ascii="宋体" w:hAnsi="宋体"/>
        </w:rPr>
      </w:pPr>
    </w:p>
    <w:p w:rsidR="000E5622" w:rsidRDefault="000E5622" w:rsidP="00C57F45">
      <w:pPr>
        <w:spacing w:line="240" w:lineRule="auto"/>
        <w:ind w:firstLine="416"/>
        <w:jc w:val="center"/>
        <w:rPr>
          <w:rFonts w:ascii="宋体" w:hAnsi="宋体"/>
          <w:spacing w:val="-16"/>
        </w:rPr>
      </w:pPr>
    </w:p>
    <w:p w:rsidR="00686DA9" w:rsidRDefault="00686DA9" w:rsidP="00686DA9">
      <w:pPr>
        <w:ind w:firstLineChars="0" w:firstLine="0"/>
        <w:rPr>
          <w:rFonts w:ascii="宋体" w:hAnsi="宋体"/>
          <w:spacing w:val="-16"/>
        </w:rPr>
      </w:pPr>
    </w:p>
    <w:p w:rsidR="00686DA9" w:rsidRPr="00CF7EE8" w:rsidRDefault="00686DA9" w:rsidP="00686DA9">
      <w:pPr>
        <w:ind w:firstLine="480"/>
        <w:rPr>
          <w:rFonts w:ascii="宋体" w:hAnsi="宋体"/>
        </w:rPr>
      </w:pPr>
    </w:p>
    <w:p w:rsidR="00686DA9" w:rsidRPr="00CF7EE8" w:rsidRDefault="00686DA9" w:rsidP="00686DA9">
      <w:pPr>
        <w:tabs>
          <w:tab w:val="left" w:pos="3930"/>
        </w:tabs>
        <w:spacing w:line="240" w:lineRule="auto"/>
        <w:ind w:firstLineChars="450" w:firstLine="1260"/>
        <w:rPr>
          <w:rFonts w:ascii="宋体" w:hAnsi="宋体"/>
          <w:sz w:val="28"/>
        </w:rPr>
      </w:pPr>
      <w:r w:rsidRPr="00CF7EE8">
        <w:rPr>
          <w:rFonts w:ascii="宋体" w:hAnsi="宋体" w:hint="eastAsia"/>
          <w:sz w:val="28"/>
        </w:rPr>
        <w:t>院          系：</w:t>
      </w:r>
      <w:r w:rsidRPr="00CF7EE8">
        <w:rPr>
          <w:rFonts w:ascii="宋体" w:hAnsi="宋体"/>
          <w:sz w:val="28"/>
        </w:rPr>
        <w:tab/>
      </w:r>
      <w:r>
        <w:rPr>
          <w:rFonts w:ascii="宋体" w:hAnsi="宋体" w:hint="eastAsia"/>
          <w:sz w:val="28"/>
        </w:rPr>
        <w:t>经济学院</w:t>
      </w:r>
    </w:p>
    <w:p w:rsidR="00686DA9" w:rsidRPr="00CF7EE8" w:rsidRDefault="00686DA9" w:rsidP="00686DA9">
      <w:pPr>
        <w:tabs>
          <w:tab w:val="left" w:pos="4059"/>
        </w:tabs>
        <w:spacing w:line="240" w:lineRule="auto"/>
        <w:ind w:firstLineChars="500" w:firstLine="1200"/>
        <w:rPr>
          <w:rFonts w:ascii="宋体" w:hAnsi="宋体"/>
          <w:sz w:val="28"/>
        </w:rPr>
      </w:pPr>
      <w:r w:rsidRPr="00CF7EE8">
        <w:rPr>
          <w:rFonts w:ascii="宋体" w:hAnsi="宋体" w:hint="eastAsia"/>
          <w:spacing w:val="-20"/>
          <w:sz w:val="28"/>
        </w:rPr>
        <w:t>专业学位类别（领域）</w:t>
      </w:r>
      <w:r w:rsidRPr="00CF7EE8">
        <w:rPr>
          <w:rFonts w:ascii="宋体" w:hAnsi="宋体" w:hint="eastAsia"/>
          <w:sz w:val="28"/>
        </w:rPr>
        <w:t xml:space="preserve">： </w:t>
      </w:r>
      <w:r>
        <w:rPr>
          <w:rFonts w:ascii="宋体" w:hAnsi="宋体"/>
          <w:sz w:val="28"/>
        </w:rPr>
        <w:t xml:space="preserve"> </w:t>
      </w:r>
      <w:r w:rsidR="007F1F5B">
        <w:rPr>
          <w:rFonts w:ascii="宋体" w:hAnsi="宋体"/>
          <w:sz w:val="28"/>
        </w:rPr>
        <w:t xml:space="preserve"> </w:t>
      </w:r>
      <w:r>
        <w:rPr>
          <w:rFonts w:ascii="宋体" w:hAnsi="宋体" w:hint="eastAsia"/>
          <w:sz w:val="28"/>
        </w:rPr>
        <w:t>税务</w:t>
      </w:r>
    </w:p>
    <w:p w:rsidR="00686DA9" w:rsidRPr="00CF7EE8" w:rsidRDefault="00686DA9" w:rsidP="00686DA9">
      <w:pPr>
        <w:tabs>
          <w:tab w:val="left" w:pos="4059"/>
          <w:tab w:val="left" w:pos="7210"/>
        </w:tabs>
        <w:spacing w:line="240" w:lineRule="auto"/>
        <w:ind w:firstLineChars="450" w:firstLine="1260"/>
        <w:rPr>
          <w:rFonts w:ascii="宋体" w:hAnsi="宋体"/>
          <w:sz w:val="28"/>
        </w:rPr>
      </w:pPr>
      <w:r w:rsidRPr="00CF7EE8">
        <w:rPr>
          <w:rFonts w:ascii="宋体" w:hAnsi="宋体" w:hint="eastAsia"/>
          <w:sz w:val="28"/>
        </w:rPr>
        <w:t xml:space="preserve">姓          名：    </w:t>
      </w:r>
      <w:r>
        <w:rPr>
          <w:rFonts w:ascii="宋体" w:hAnsi="宋体" w:hint="eastAsia"/>
          <w:sz w:val="28"/>
        </w:rPr>
        <w:t>郭文琪</w:t>
      </w:r>
      <w:r>
        <w:rPr>
          <w:rFonts w:ascii="宋体" w:hAnsi="宋体"/>
          <w:sz w:val="28"/>
        </w:rPr>
        <w:tab/>
      </w:r>
    </w:p>
    <w:p w:rsidR="00686DA9" w:rsidRPr="00CF7EE8" w:rsidRDefault="00686DA9" w:rsidP="00686DA9">
      <w:pPr>
        <w:tabs>
          <w:tab w:val="left" w:pos="4059"/>
        </w:tabs>
        <w:spacing w:line="240" w:lineRule="auto"/>
        <w:ind w:firstLineChars="450" w:firstLine="1260"/>
        <w:rPr>
          <w:rFonts w:ascii="宋体" w:hAnsi="宋体"/>
          <w:sz w:val="28"/>
        </w:rPr>
      </w:pPr>
      <w:r w:rsidRPr="00CF7EE8">
        <w:rPr>
          <w:rFonts w:ascii="宋体" w:hAnsi="宋体" w:hint="eastAsia"/>
          <w:sz w:val="28"/>
        </w:rPr>
        <w:t>指  导  教  师：</w:t>
      </w:r>
      <w:r w:rsidR="007F1F5B">
        <w:rPr>
          <w:rFonts w:ascii="宋体" w:hAnsi="宋体" w:hint="eastAsia"/>
          <w:sz w:val="28"/>
        </w:rPr>
        <w:t xml:space="preserve"> </w:t>
      </w:r>
      <w:r w:rsidR="007F1F5B">
        <w:rPr>
          <w:rFonts w:ascii="宋体" w:hAnsi="宋体"/>
          <w:sz w:val="28"/>
        </w:rPr>
        <w:t xml:space="preserve">  </w:t>
      </w:r>
      <w:r w:rsidRPr="00CF7EE8">
        <w:rPr>
          <w:rFonts w:ascii="宋体" w:hAnsi="宋体"/>
          <w:sz w:val="28"/>
        </w:rPr>
        <w:tab/>
      </w:r>
      <w:r>
        <w:rPr>
          <w:rFonts w:ascii="宋体" w:hAnsi="宋体" w:hint="eastAsia"/>
          <w:sz w:val="28"/>
        </w:rPr>
        <w:t>徐晔</w:t>
      </w:r>
      <w:r w:rsidRPr="00CF7EE8">
        <w:rPr>
          <w:rFonts w:ascii="宋体" w:hAnsi="宋体" w:hint="eastAsia"/>
          <w:sz w:val="28"/>
        </w:rPr>
        <w:t xml:space="preserve">  教授</w:t>
      </w:r>
    </w:p>
    <w:p w:rsidR="00686DA9" w:rsidRPr="00CF7EE8" w:rsidRDefault="00686DA9" w:rsidP="00686DA9">
      <w:pPr>
        <w:tabs>
          <w:tab w:val="left" w:pos="4059"/>
        </w:tabs>
        <w:spacing w:line="240" w:lineRule="auto"/>
        <w:ind w:firstLineChars="450" w:firstLine="1278"/>
        <w:rPr>
          <w:rFonts w:ascii="宋体" w:hAnsi="宋体"/>
          <w:sz w:val="28"/>
        </w:rPr>
      </w:pPr>
      <w:r w:rsidRPr="00CF7EE8">
        <w:rPr>
          <w:rFonts w:ascii="宋体" w:hAnsi="宋体" w:hint="eastAsia"/>
          <w:spacing w:val="2"/>
          <w:sz w:val="28"/>
        </w:rPr>
        <w:t>完  成  日  期</w:t>
      </w:r>
      <w:r w:rsidRPr="00CF7EE8">
        <w:rPr>
          <w:rFonts w:ascii="宋体" w:hAnsi="宋体" w:hint="eastAsia"/>
          <w:sz w:val="28"/>
        </w:rPr>
        <w:t>：</w:t>
      </w:r>
      <w:r w:rsidR="007F1F5B">
        <w:rPr>
          <w:rFonts w:ascii="宋体" w:hAnsi="宋体" w:hint="eastAsia"/>
          <w:spacing w:val="2"/>
          <w:sz w:val="28"/>
        </w:rPr>
        <w:t xml:space="preserve">  </w:t>
      </w:r>
      <w:r w:rsidR="007F1F5B">
        <w:rPr>
          <w:rFonts w:ascii="宋体" w:hAnsi="宋体"/>
          <w:spacing w:val="2"/>
          <w:sz w:val="28"/>
        </w:rPr>
        <w:t xml:space="preserve"> </w:t>
      </w:r>
      <w:r w:rsidRPr="00CF7EE8">
        <w:rPr>
          <w:rFonts w:ascii="宋体" w:hAnsi="宋体"/>
          <w:spacing w:val="2"/>
          <w:sz w:val="28"/>
        </w:rPr>
        <w:tab/>
      </w:r>
      <w:r>
        <w:rPr>
          <w:rFonts w:ascii="宋体" w:hAnsi="宋体" w:hint="eastAsia"/>
          <w:spacing w:val="2"/>
          <w:sz w:val="28"/>
        </w:rPr>
        <w:t>2017</w:t>
      </w:r>
      <w:r w:rsidRPr="00CF7EE8">
        <w:rPr>
          <w:rFonts w:ascii="宋体" w:hAnsi="宋体" w:hint="eastAsia"/>
          <w:sz w:val="28"/>
        </w:rPr>
        <w:t>年</w:t>
      </w:r>
      <w:r>
        <w:rPr>
          <w:rFonts w:ascii="宋体" w:hAnsi="宋体" w:hint="eastAsia"/>
          <w:sz w:val="28"/>
        </w:rPr>
        <w:t xml:space="preserve"> 9</w:t>
      </w:r>
      <w:r w:rsidRPr="00CF7EE8">
        <w:rPr>
          <w:rFonts w:ascii="宋体" w:hAnsi="宋体" w:hint="eastAsia"/>
          <w:sz w:val="28"/>
        </w:rPr>
        <w:t>月</w:t>
      </w:r>
      <w:r>
        <w:rPr>
          <w:rFonts w:ascii="宋体" w:hAnsi="宋体" w:hint="eastAsia"/>
          <w:sz w:val="28"/>
        </w:rPr>
        <w:t xml:space="preserve"> 7</w:t>
      </w:r>
      <w:r w:rsidRPr="00CF7EE8">
        <w:rPr>
          <w:rFonts w:ascii="宋体" w:hAnsi="宋体" w:hint="eastAsia"/>
          <w:sz w:val="28"/>
        </w:rPr>
        <w:t>日</w:t>
      </w:r>
    </w:p>
    <w:p w:rsidR="00850337" w:rsidRDefault="00850337" w:rsidP="00BA6481">
      <w:pPr>
        <w:pStyle w:val="Default"/>
        <w:spacing w:beforeLines="50" w:before="156" w:afterLines="100" w:after="312" w:line="400" w:lineRule="exact"/>
        <w:jc w:val="center"/>
        <w:rPr>
          <w:b/>
          <w:sz w:val="36"/>
        </w:rPr>
        <w:sectPr w:rsidR="00850337" w:rsidSect="008800E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docGrid w:type="lines" w:linePitch="312"/>
        </w:sectPr>
      </w:pPr>
    </w:p>
    <w:p w:rsidR="0062754D" w:rsidRDefault="00FA1095" w:rsidP="00BA6481">
      <w:pPr>
        <w:pStyle w:val="Default"/>
        <w:spacing w:beforeLines="50" w:before="156" w:afterLines="100" w:after="312" w:line="400" w:lineRule="exact"/>
        <w:jc w:val="center"/>
        <w:rPr>
          <w:b/>
          <w:sz w:val="36"/>
        </w:rPr>
      </w:pPr>
      <w:proofErr w:type="gramStart"/>
      <w:r>
        <w:rPr>
          <w:rFonts w:hint="eastAsia"/>
          <w:b/>
          <w:sz w:val="36"/>
        </w:rPr>
        <w:lastRenderedPageBreak/>
        <w:t>议</w:t>
      </w:r>
      <w:r w:rsidRPr="00FA1095">
        <w:rPr>
          <w:rFonts w:hint="eastAsia"/>
          <w:b/>
          <w:sz w:val="36"/>
        </w:rPr>
        <w:t>儿童</w:t>
      </w:r>
      <w:proofErr w:type="gramEnd"/>
      <w:r w:rsidRPr="00FA1095">
        <w:rPr>
          <w:rFonts w:hint="eastAsia"/>
          <w:b/>
          <w:sz w:val="36"/>
        </w:rPr>
        <w:t>投资主基金</w:t>
      </w:r>
      <w:r w:rsidR="00C01D9E">
        <w:rPr>
          <w:rFonts w:hint="eastAsia"/>
          <w:b/>
          <w:sz w:val="36"/>
        </w:rPr>
        <w:t>间接转让股权</w:t>
      </w:r>
      <w:r w:rsidRPr="00FA1095">
        <w:rPr>
          <w:rFonts w:hint="eastAsia"/>
          <w:b/>
          <w:sz w:val="36"/>
        </w:rPr>
        <w:t>税务征收案</w:t>
      </w:r>
      <w:bookmarkEnd w:id="0"/>
    </w:p>
    <w:p w:rsidR="005E2324" w:rsidRDefault="00C16849" w:rsidP="005E2324">
      <w:pPr>
        <w:ind w:firstLine="482"/>
        <w:rPr>
          <w:rFonts w:cs="Times New Roman"/>
          <w:szCs w:val="24"/>
        </w:rPr>
      </w:pPr>
      <w:r w:rsidRPr="00BA6481">
        <w:rPr>
          <w:rFonts w:cs="Times New Roman" w:hint="eastAsia"/>
          <w:b/>
          <w:szCs w:val="24"/>
        </w:rPr>
        <w:t>摘</w:t>
      </w:r>
      <w:r w:rsidR="0070423A" w:rsidRPr="00BA6481">
        <w:rPr>
          <w:rFonts w:cs="Times New Roman" w:hint="eastAsia"/>
          <w:b/>
          <w:szCs w:val="24"/>
        </w:rPr>
        <w:t xml:space="preserve"> </w:t>
      </w:r>
      <w:r w:rsidRPr="00BA6481">
        <w:rPr>
          <w:rFonts w:cs="Times New Roman" w:hint="eastAsia"/>
          <w:b/>
          <w:szCs w:val="24"/>
        </w:rPr>
        <w:t>要：</w:t>
      </w:r>
      <w:r w:rsidR="0070423A" w:rsidRPr="00925894">
        <w:rPr>
          <w:rFonts w:hint="eastAsia"/>
        </w:rPr>
        <w:t>经济全球化促进了跨国公司的迅猛发展</w:t>
      </w:r>
      <w:r w:rsidR="000C66BB" w:rsidRPr="00925894">
        <w:rPr>
          <w:rFonts w:hint="eastAsia"/>
        </w:rPr>
        <w:t>，</w:t>
      </w:r>
      <w:r w:rsidR="004D28A1" w:rsidRPr="00925894">
        <w:rPr>
          <w:rFonts w:hint="eastAsia"/>
        </w:rPr>
        <w:t>这些跨国公司对其所持股权的转让通常进行了</w:t>
      </w:r>
      <w:r w:rsidR="005F13FE" w:rsidRPr="00925894">
        <w:rPr>
          <w:rFonts w:hint="eastAsia"/>
        </w:rPr>
        <w:t>特殊</w:t>
      </w:r>
      <w:r w:rsidR="004D28A1" w:rsidRPr="00925894">
        <w:rPr>
          <w:rFonts w:hint="eastAsia"/>
        </w:rPr>
        <w:t>的</w:t>
      </w:r>
      <w:r w:rsidR="0070423A" w:rsidRPr="00925894">
        <w:rPr>
          <w:rFonts w:hint="eastAsia"/>
        </w:rPr>
        <w:t>交易安排：在零税率</w:t>
      </w:r>
      <w:r w:rsidR="004D28A1" w:rsidRPr="00925894">
        <w:rPr>
          <w:rFonts w:hint="eastAsia"/>
        </w:rPr>
        <w:t>或低税率的国家、</w:t>
      </w:r>
      <w:r w:rsidR="0070423A" w:rsidRPr="00925894">
        <w:rPr>
          <w:rFonts w:hint="eastAsia"/>
        </w:rPr>
        <w:t>地区注册</w:t>
      </w:r>
      <w:r w:rsidR="004D28A1" w:rsidRPr="00925894">
        <w:rPr>
          <w:rFonts w:hint="eastAsia"/>
        </w:rPr>
        <w:t>控股</w:t>
      </w:r>
      <w:r w:rsidR="0070423A" w:rsidRPr="00925894">
        <w:rPr>
          <w:rFonts w:hint="eastAsia"/>
        </w:rPr>
        <w:t>公司</w:t>
      </w:r>
      <w:r w:rsidR="000C66BB" w:rsidRPr="00925894">
        <w:rPr>
          <w:rFonts w:hint="eastAsia"/>
        </w:rPr>
        <w:t>，</w:t>
      </w:r>
      <w:r w:rsidR="0070423A" w:rsidRPr="00925894">
        <w:rPr>
          <w:rFonts w:hint="eastAsia"/>
        </w:rPr>
        <w:t>然后通过转让</w:t>
      </w:r>
      <w:r w:rsidR="004D28A1" w:rsidRPr="00925894">
        <w:rPr>
          <w:rFonts w:hint="eastAsia"/>
        </w:rPr>
        <w:t>该</w:t>
      </w:r>
      <w:r w:rsidR="0070423A" w:rsidRPr="00925894">
        <w:rPr>
          <w:rFonts w:hint="eastAsia"/>
        </w:rPr>
        <w:t>中间层控股公司</w:t>
      </w:r>
      <w:r w:rsidR="004D28A1" w:rsidRPr="00925894">
        <w:rPr>
          <w:rFonts w:hint="eastAsia"/>
        </w:rPr>
        <w:t>的</w:t>
      </w:r>
      <w:r w:rsidR="0070423A" w:rsidRPr="00925894">
        <w:rPr>
          <w:rFonts w:hint="eastAsia"/>
        </w:rPr>
        <w:t>股权</w:t>
      </w:r>
      <w:r w:rsidR="000C66BB" w:rsidRPr="00925894">
        <w:rPr>
          <w:rFonts w:hint="eastAsia"/>
        </w:rPr>
        <w:t>，</w:t>
      </w:r>
      <w:r w:rsidR="0070423A" w:rsidRPr="00925894">
        <w:rPr>
          <w:rFonts w:hint="eastAsia"/>
        </w:rPr>
        <w:t>间接地转让</w:t>
      </w:r>
      <w:r w:rsidR="004D28A1" w:rsidRPr="00925894">
        <w:rPr>
          <w:rFonts w:hint="eastAsia"/>
        </w:rPr>
        <w:t>较高税率国家的</w:t>
      </w:r>
      <w:r w:rsidR="0070423A" w:rsidRPr="00925894">
        <w:rPr>
          <w:rFonts w:hint="eastAsia"/>
        </w:rPr>
        <w:t>企业股权</w:t>
      </w:r>
      <w:r w:rsidR="000C66BB" w:rsidRPr="00925894">
        <w:rPr>
          <w:rFonts w:hint="eastAsia"/>
        </w:rPr>
        <w:t>，</w:t>
      </w:r>
      <w:r w:rsidR="005F13FE" w:rsidRPr="00925894">
        <w:rPr>
          <w:rFonts w:hint="eastAsia"/>
        </w:rPr>
        <w:t>以规避适用</w:t>
      </w:r>
      <w:r w:rsidR="004D28A1" w:rsidRPr="00925894">
        <w:rPr>
          <w:rFonts w:hint="eastAsia"/>
        </w:rPr>
        <w:t>较高税率</w:t>
      </w:r>
      <w:r w:rsidR="000C66BB" w:rsidRPr="00925894">
        <w:rPr>
          <w:rFonts w:hint="eastAsia"/>
        </w:rPr>
        <w:t>，</w:t>
      </w:r>
      <w:r w:rsidR="005F13FE" w:rsidRPr="00925894">
        <w:rPr>
          <w:rFonts w:hint="eastAsia"/>
        </w:rPr>
        <w:t>达到</w:t>
      </w:r>
      <w:proofErr w:type="gramStart"/>
      <w:r w:rsidR="005F13FE" w:rsidRPr="00925894">
        <w:rPr>
          <w:rFonts w:hint="eastAsia"/>
        </w:rPr>
        <w:t>不</w:t>
      </w:r>
      <w:proofErr w:type="gramEnd"/>
      <w:r w:rsidR="005F13FE" w:rsidRPr="00925894">
        <w:rPr>
          <w:rFonts w:hint="eastAsia"/>
        </w:rPr>
        <w:t>交税或少交税的目的。</w:t>
      </w:r>
      <w:r w:rsidR="0070423A" w:rsidRPr="00925894">
        <w:rPr>
          <w:rFonts w:hint="eastAsia"/>
        </w:rPr>
        <w:t>本案例围绕“儿童投资主基金诉杭州市西湖区国家税务局税务征收案”</w:t>
      </w:r>
      <w:r w:rsidR="000C66BB" w:rsidRPr="00925894">
        <w:rPr>
          <w:rFonts w:hint="eastAsia"/>
        </w:rPr>
        <w:t>，</w:t>
      </w:r>
      <w:r w:rsidR="00CD7747" w:rsidRPr="00925894">
        <w:rPr>
          <w:rFonts w:hint="eastAsia"/>
        </w:rPr>
        <w:t>探讨了在非居民企业间接转让境内资产时所面临的税收风险</w:t>
      </w:r>
      <w:r w:rsidR="000C66BB" w:rsidRPr="00925894">
        <w:rPr>
          <w:rFonts w:hint="eastAsia"/>
        </w:rPr>
        <w:t>，</w:t>
      </w:r>
      <w:r w:rsidR="00CD7747" w:rsidRPr="00925894">
        <w:rPr>
          <w:rFonts w:hint="eastAsia"/>
        </w:rPr>
        <w:t>即非居民企业</w:t>
      </w:r>
      <w:r w:rsidR="004D28A1" w:rsidRPr="00925894">
        <w:rPr>
          <w:rFonts w:hint="eastAsia"/>
        </w:rPr>
        <w:t>可能因</w:t>
      </w:r>
      <w:r w:rsidR="00CD7747" w:rsidRPr="00925894">
        <w:rPr>
          <w:rFonts w:hint="eastAsia"/>
        </w:rPr>
        <w:t>无法证明其间接转让股权的交易属于“合理商业目的”</w:t>
      </w:r>
      <w:r w:rsidR="000C66BB" w:rsidRPr="00925894">
        <w:rPr>
          <w:rFonts w:hint="eastAsia"/>
        </w:rPr>
        <w:t>，</w:t>
      </w:r>
      <w:r w:rsidR="004D28A1" w:rsidRPr="00925894">
        <w:rPr>
          <w:rFonts w:hint="eastAsia"/>
        </w:rPr>
        <w:t>而被</w:t>
      </w:r>
      <w:r w:rsidR="00CD7747" w:rsidRPr="00925894">
        <w:rPr>
          <w:rFonts w:hint="eastAsia"/>
        </w:rPr>
        <w:t>我国税务机关对</w:t>
      </w:r>
      <w:r w:rsidR="00CD7747" w:rsidRPr="00925894">
        <w:t>交易重新定性</w:t>
      </w:r>
      <w:r w:rsidR="000C66BB" w:rsidRPr="00925894">
        <w:rPr>
          <w:rFonts w:hint="eastAsia"/>
        </w:rPr>
        <w:t>，</w:t>
      </w:r>
      <w:r w:rsidR="004D28A1" w:rsidRPr="00925894">
        <w:rPr>
          <w:rFonts w:hint="eastAsia"/>
        </w:rPr>
        <w:t>穿透中间层控股公司</w:t>
      </w:r>
      <w:r w:rsidR="000C66BB" w:rsidRPr="00925894">
        <w:rPr>
          <w:rFonts w:hint="eastAsia"/>
        </w:rPr>
        <w:t>，</w:t>
      </w:r>
      <w:r w:rsidR="003B0DF0" w:rsidRPr="00925894">
        <w:rPr>
          <w:rFonts w:hint="eastAsia"/>
        </w:rPr>
        <w:t>认定交易的实质是</w:t>
      </w:r>
      <w:r w:rsidR="00CD7747" w:rsidRPr="00925894">
        <w:rPr>
          <w:rFonts w:hint="eastAsia"/>
        </w:rPr>
        <w:t>境</w:t>
      </w:r>
      <w:proofErr w:type="gramStart"/>
      <w:r w:rsidR="00CD7747" w:rsidRPr="00925894">
        <w:rPr>
          <w:rFonts w:hint="eastAsia"/>
        </w:rPr>
        <w:t>内应税</w:t>
      </w:r>
      <w:proofErr w:type="gramEnd"/>
      <w:r w:rsidR="00CD7747" w:rsidRPr="00925894">
        <w:rPr>
          <w:rFonts w:hint="eastAsia"/>
        </w:rPr>
        <w:t>资产</w:t>
      </w:r>
      <w:r w:rsidR="000C66BB" w:rsidRPr="00925894">
        <w:rPr>
          <w:rFonts w:hint="eastAsia"/>
        </w:rPr>
        <w:t>，</w:t>
      </w:r>
      <w:r w:rsidR="004D28A1" w:rsidRPr="00925894">
        <w:rPr>
          <w:rFonts w:hint="eastAsia"/>
        </w:rPr>
        <w:t>对该项交易</w:t>
      </w:r>
      <w:r w:rsidR="00CD7747" w:rsidRPr="00925894">
        <w:rPr>
          <w:rFonts w:hint="eastAsia"/>
        </w:rPr>
        <w:t>征收所得税。</w:t>
      </w:r>
      <w:r w:rsidR="0043594B" w:rsidRPr="00925894">
        <w:rPr>
          <w:rFonts w:hint="eastAsia"/>
        </w:rPr>
        <w:t>本案</w:t>
      </w:r>
      <w:r w:rsidR="004D28A1" w:rsidRPr="00925894">
        <w:rPr>
          <w:rFonts w:hint="eastAsia"/>
        </w:rPr>
        <w:t>例</w:t>
      </w:r>
      <w:r w:rsidR="0043594B" w:rsidRPr="00925894">
        <w:rPr>
          <w:rFonts w:hint="eastAsia"/>
        </w:rPr>
        <w:t>入选最高人民法院发布的第一批行政审判十大典型案例</w:t>
      </w:r>
      <w:r w:rsidR="000C66BB" w:rsidRPr="00925894">
        <w:rPr>
          <w:rFonts w:hint="eastAsia"/>
        </w:rPr>
        <w:t>，</w:t>
      </w:r>
      <w:r w:rsidR="0043594B" w:rsidRPr="00925894">
        <w:rPr>
          <w:rFonts w:hint="eastAsia"/>
        </w:rPr>
        <w:t>以裁判方式为非居民企业间接转让境内股权提供了实践基础</w:t>
      </w:r>
      <w:r w:rsidR="00903EC9" w:rsidRPr="00925894">
        <w:rPr>
          <w:rFonts w:hint="eastAsia"/>
        </w:rPr>
        <w:t>；</w:t>
      </w:r>
      <w:r w:rsidR="0043594B" w:rsidRPr="00925894">
        <w:rPr>
          <w:rFonts w:hint="eastAsia"/>
        </w:rPr>
        <w:t>而随后更为具体的相关法律法规的颁布也推动了税收法律体系的完善和税务管理的进步。</w:t>
      </w:r>
    </w:p>
    <w:p w:rsidR="00F50027" w:rsidRDefault="00F50027" w:rsidP="005E2324">
      <w:pPr>
        <w:ind w:firstLine="480"/>
        <w:rPr>
          <w:rFonts w:cs="Times New Roman"/>
          <w:szCs w:val="24"/>
        </w:rPr>
      </w:pPr>
    </w:p>
    <w:p w:rsidR="005E2324" w:rsidRPr="00BA6481" w:rsidRDefault="005E2324" w:rsidP="005E2324">
      <w:pPr>
        <w:ind w:firstLine="482"/>
        <w:rPr>
          <w:rFonts w:cs="Times New Roman"/>
          <w:szCs w:val="24"/>
        </w:rPr>
      </w:pPr>
      <w:r w:rsidRPr="00BA6481">
        <w:rPr>
          <w:rFonts w:cs="Times New Roman" w:hint="eastAsia"/>
          <w:b/>
          <w:szCs w:val="24"/>
        </w:rPr>
        <w:t>关键词：</w:t>
      </w:r>
      <w:r w:rsidRPr="00925894">
        <w:rPr>
          <w:rFonts w:hint="eastAsia"/>
        </w:rPr>
        <w:t>儿童投资主基金</w:t>
      </w:r>
      <w:r w:rsidRPr="00925894">
        <w:rPr>
          <w:rFonts w:hint="eastAsia"/>
        </w:rPr>
        <w:t xml:space="preserve"> </w:t>
      </w:r>
      <w:r w:rsidRPr="00925894">
        <w:rPr>
          <w:rFonts w:hint="eastAsia"/>
        </w:rPr>
        <w:t>间接转让股权</w:t>
      </w:r>
      <w:r w:rsidRPr="00925894">
        <w:rPr>
          <w:rFonts w:hint="eastAsia"/>
        </w:rPr>
        <w:t xml:space="preserve"> </w:t>
      </w:r>
      <w:r w:rsidRPr="00925894">
        <w:rPr>
          <w:rFonts w:hint="eastAsia"/>
        </w:rPr>
        <w:t>合理商业目的</w:t>
      </w:r>
      <w:r w:rsidRPr="00925894">
        <w:rPr>
          <w:rFonts w:hint="eastAsia"/>
        </w:rPr>
        <w:t xml:space="preserve"> </w:t>
      </w:r>
      <w:r w:rsidRPr="00925894">
        <w:rPr>
          <w:rFonts w:hint="eastAsia"/>
        </w:rPr>
        <w:t>企业所得税</w:t>
      </w:r>
    </w:p>
    <w:p w:rsidR="005E2324" w:rsidRDefault="005E2324" w:rsidP="00405E65">
      <w:pPr>
        <w:ind w:firstLine="480"/>
        <w:rPr>
          <w:rFonts w:cs="Times New Roman"/>
          <w:szCs w:val="24"/>
        </w:rPr>
      </w:pPr>
    </w:p>
    <w:p w:rsidR="00F50027" w:rsidRPr="005E2324" w:rsidRDefault="00F50027" w:rsidP="00405E65">
      <w:pPr>
        <w:ind w:firstLine="480"/>
        <w:rPr>
          <w:rFonts w:cs="Times New Roman"/>
          <w:szCs w:val="24"/>
        </w:rPr>
      </w:pPr>
    </w:p>
    <w:p w:rsidR="00054E1D" w:rsidRPr="005E0592" w:rsidRDefault="00054E1D" w:rsidP="005E2324">
      <w:pPr>
        <w:pStyle w:val="Default"/>
        <w:spacing w:beforeLines="50" w:before="156" w:afterLines="100" w:after="312" w:line="400" w:lineRule="exact"/>
        <w:rPr>
          <w:b/>
          <w:sz w:val="36"/>
        </w:rPr>
      </w:pPr>
      <w:r w:rsidRPr="005E0592">
        <w:rPr>
          <w:b/>
          <w:sz w:val="36"/>
        </w:rPr>
        <w:t>C</w:t>
      </w:r>
      <w:r w:rsidRPr="005E0592">
        <w:rPr>
          <w:rFonts w:hint="eastAsia"/>
          <w:b/>
          <w:sz w:val="36"/>
        </w:rPr>
        <w:t>omment</w:t>
      </w:r>
      <w:r w:rsidR="009D556F">
        <w:rPr>
          <w:rFonts w:hint="eastAsia"/>
          <w:b/>
          <w:sz w:val="36"/>
        </w:rPr>
        <w:t>s</w:t>
      </w:r>
      <w:r w:rsidRPr="005E0592">
        <w:rPr>
          <w:b/>
          <w:sz w:val="36"/>
        </w:rPr>
        <w:t xml:space="preserve"> on Indirect Transfer of Equity Investment </w:t>
      </w:r>
      <w:r w:rsidRPr="005E0592">
        <w:rPr>
          <w:rFonts w:hint="eastAsia"/>
          <w:b/>
          <w:sz w:val="36"/>
        </w:rPr>
        <w:t>of</w:t>
      </w:r>
      <w:r w:rsidRPr="005E0592">
        <w:rPr>
          <w:b/>
          <w:sz w:val="36"/>
        </w:rPr>
        <w:t xml:space="preserve"> </w:t>
      </w:r>
      <w:bookmarkStart w:id="1" w:name="_Hlk492554307"/>
      <w:r w:rsidRPr="005E0592">
        <w:rPr>
          <w:b/>
          <w:sz w:val="36"/>
        </w:rPr>
        <w:t>The Children’s Investment Master Fund</w:t>
      </w:r>
      <w:bookmarkEnd w:id="1"/>
    </w:p>
    <w:p w:rsidR="00054E1D" w:rsidRPr="00925894" w:rsidRDefault="00054E1D" w:rsidP="00925894">
      <w:pPr>
        <w:ind w:firstLine="482"/>
      </w:pPr>
      <w:r>
        <w:rPr>
          <w:rFonts w:cs="Times New Roman"/>
          <w:b/>
          <w:szCs w:val="24"/>
        </w:rPr>
        <w:t>Abstract:</w:t>
      </w:r>
      <w:r w:rsidRPr="005E0592">
        <w:rPr>
          <w:rFonts w:asciiTheme="minorEastAsia" w:hAnsiTheme="minorEastAsia"/>
          <w:bCs/>
          <w:szCs w:val="21"/>
        </w:rPr>
        <w:t xml:space="preserve"> </w:t>
      </w:r>
      <w:r w:rsidRPr="00925894">
        <w:t xml:space="preserve">Economic globalization has promoted the rapid development of transnational corporations. These transnational corporations usually carry out special transaction arrangements for the transfer of their holdings: registering the holding companies in countries with no or low tax, and then transferring the Holding company's equity to indirectly transfer corporate equity in high tax countries to avoid the application of higher tax rates. This case focuses on the " The Children’s Investment Master Fund v. </w:t>
      </w:r>
      <w:proofErr w:type="spellStart"/>
      <w:r w:rsidRPr="00925894">
        <w:t>Xihu</w:t>
      </w:r>
      <w:proofErr w:type="spellEnd"/>
      <w:r w:rsidRPr="00925894">
        <w:t xml:space="preserve"> District State Taxation Bureau of Hangzhou tax collection case" to explore the non-resident enterprises in the indirect transfer of domestic assets, the risk of taxation, that is, non-resident enterprises may be unable to prove that the indirect transfer of equity Of the transaction is a "reasonable business purposes", and the Chinese tax authorities </w:t>
      </w:r>
      <w:r w:rsidRPr="00925894">
        <w:rPr>
          <w:rFonts w:hint="eastAsia"/>
        </w:rPr>
        <w:t>will</w:t>
      </w:r>
      <w:r w:rsidRPr="00925894">
        <w:t xml:space="preserve"> re-qualify the transaction,</w:t>
      </w:r>
      <w:r w:rsidRPr="00925894">
        <w:rPr>
          <w:rFonts w:hint="eastAsia"/>
        </w:rPr>
        <w:t>“</w:t>
      </w:r>
      <w:r w:rsidRPr="00925894">
        <w:t>penetrate</w:t>
      </w:r>
      <w:r w:rsidRPr="00925894">
        <w:rPr>
          <w:rFonts w:hint="eastAsia"/>
        </w:rPr>
        <w:t>”</w:t>
      </w:r>
      <w:r w:rsidRPr="00925894">
        <w:rPr>
          <w:rFonts w:hint="eastAsia"/>
        </w:rPr>
        <w:t xml:space="preserve"> </w:t>
      </w:r>
      <w:r w:rsidRPr="00925894">
        <w:t xml:space="preserve">the holding company, levy tax on the transaction. The case was selected by the Supreme People's Court in the first ten typical cases of administrative trial in order to referee for indirectly transfer domestic equity by non-resident enterprises as a practical </w:t>
      </w:r>
      <w:proofErr w:type="spellStart"/>
      <w:r w:rsidRPr="00925894">
        <w:t>basis.And</w:t>
      </w:r>
      <w:proofErr w:type="spellEnd"/>
      <w:r w:rsidRPr="00925894">
        <w:t xml:space="preserve"> then more specific </w:t>
      </w:r>
      <w:r w:rsidRPr="00925894">
        <w:lastRenderedPageBreak/>
        <w:t>laws and regulations promulgated to promote the tax law System improveme</w:t>
      </w:r>
      <w:r w:rsidR="005E2324" w:rsidRPr="00925894">
        <w:t>nt and tax management progress.</w:t>
      </w:r>
    </w:p>
    <w:p w:rsidR="00F50027" w:rsidRPr="005E2324" w:rsidRDefault="00F50027" w:rsidP="00925894">
      <w:pPr>
        <w:ind w:firstLine="480"/>
        <w:rPr>
          <w:rFonts w:cs="Times New Roman"/>
          <w:szCs w:val="24"/>
        </w:rPr>
      </w:pPr>
    </w:p>
    <w:p w:rsidR="00195D2C" w:rsidRDefault="00054E1D" w:rsidP="00054E1D">
      <w:pPr>
        <w:ind w:firstLine="482"/>
        <w:rPr>
          <w:rFonts w:cs="Times New Roman"/>
          <w:szCs w:val="24"/>
        </w:rPr>
        <w:sectPr w:rsidR="00195D2C" w:rsidSect="008800EB">
          <w:headerReference w:type="default" r:id="rId15"/>
          <w:footerReference w:type="default" r:id="rId16"/>
          <w:pgSz w:w="11906" w:h="16838"/>
          <w:pgMar w:top="1440" w:right="1800" w:bottom="1440" w:left="1800" w:header="851" w:footer="992" w:gutter="0"/>
          <w:pgNumType w:fmt="upperRoman" w:start="1"/>
          <w:cols w:space="425"/>
          <w:docGrid w:type="lines" w:linePitch="312"/>
        </w:sectPr>
      </w:pPr>
      <w:r w:rsidRPr="005E0592">
        <w:rPr>
          <w:rFonts w:cs="Times New Roman"/>
          <w:b/>
          <w:szCs w:val="24"/>
        </w:rPr>
        <w:t>Key words:</w:t>
      </w:r>
      <w:r>
        <w:rPr>
          <w:rFonts w:cs="Times New Roman"/>
          <w:szCs w:val="24"/>
        </w:rPr>
        <w:t xml:space="preserve"> </w:t>
      </w:r>
      <w:r w:rsidRPr="00925894">
        <w:t>children investment</w:t>
      </w:r>
      <w:r w:rsidR="00F50027" w:rsidRPr="00925894">
        <w:t xml:space="preserve"> </w:t>
      </w:r>
      <w:r w:rsidRPr="00925894">
        <w:t>main fund; indirect transfer of equity; reasonable business purpose; enterprise income tax</w:t>
      </w:r>
    </w:p>
    <w:sdt>
      <w:sdtPr>
        <w:rPr>
          <w:rFonts w:asciiTheme="minorHAnsi" w:eastAsiaTheme="minorEastAsia" w:hAnsiTheme="minorHAnsi" w:cstheme="minorBidi"/>
          <w:color w:val="auto"/>
          <w:kern w:val="2"/>
          <w:sz w:val="21"/>
          <w:szCs w:val="22"/>
          <w:lang w:val="zh-CN"/>
        </w:rPr>
        <w:id w:val="1525903176"/>
        <w:docPartObj>
          <w:docPartGallery w:val="Table of Contents"/>
          <w:docPartUnique/>
        </w:docPartObj>
      </w:sdtPr>
      <w:sdtEndPr>
        <w:rPr>
          <w:rFonts w:ascii="Times New Roman" w:eastAsia="宋体" w:hAnsi="Times New Roman"/>
          <w:b/>
          <w:bCs/>
          <w:sz w:val="24"/>
        </w:rPr>
      </w:sdtEndPr>
      <w:sdtContent>
        <w:p w:rsidR="00195D2C" w:rsidRDefault="00195D2C">
          <w:pPr>
            <w:pStyle w:val="TOC"/>
            <w:ind w:firstLine="420"/>
          </w:pPr>
          <w:r>
            <w:rPr>
              <w:lang w:val="zh-CN"/>
            </w:rPr>
            <w:t>目录</w:t>
          </w:r>
        </w:p>
        <w:p w:rsidR="007F1F5B" w:rsidRDefault="00195D2C">
          <w:pPr>
            <w:pStyle w:val="11"/>
            <w:tabs>
              <w:tab w:val="right" w:leader="dot" w:pos="8296"/>
            </w:tabs>
            <w:ind w:firstLine="440"/>
            <w:rPr>
              <w:rFonts w:asciiTheme="minorHAnsi" w:eastAsiaTheme="minorEastAsia" w:hAnsiTheme="minorHAnsi" w:cstheme="minorBidi"/>
              <w:noProof/>
              <w:kern w:val="2"/>
              <w:sz w:val="21"/>
            </w:rPr>
          </w:pPr>
          <w:r>
            <w:fldChar w:fldCharType="begin"/>
          </w:r>
          <w:r>
            <w:instrText xml:space="preserve"> TOC \o "1-3" \h \z \u </w:instrText>
          </w:r>
          <w:r>
            <w:fldChar w:fldCharType="separate"/>
          </w:r>
          <w:hyperlink w:anchor="_Toc492587008" w:history="1">
            <w:r w:rsidR="007F1F5B" w:rsidRPr="007C2387">
              <w:rPr>
                <w:rStyle w:val="a3"/>
                <w:noProof/>
              </w:rPr>
              <w:t xml:space="preserve">1 </w:t>
            </w:r>
            <w:r w:rsidR="007F1F5B" w:rsidRPr="007C2387">
              <w:rPr>
                <w:rStyle w:val="a3"/>
                <w:noProof/>
              </w:rPr>
              <w:t>引言</w:t>
            </w:r>
            <w:r w:rsidR="007F1F5B">
              <w:rPr>
                <w:noProof/>
                <w:webHidden/>
              </w:rPr>
              <w:tab/>
            </w:r>
            <w:r w:rsidR="007F1F5B">
              <w:rPr>
                <w:noProof/>
                <w:webHidden/>
              </w:rPr>
              <w:fldChar w:fldCharType="begin"/>
            </w:r>
            <w:r w:rsidR="007F1F5B">
              <w:rPr>
                <w:noProof/>
                <w:webHidden/>
              </w:rPr>
              <w:instrText xml:space="preserve"> PAGEREF _Toc492587008 \h </w:instrText>
            </w:r>
            <w:r w:rsidR="007F1F5B">
              <w:rPr>
                <w:noProof/>
                <w:webHidden/>
              </w:rPr>
            </w:r>
            <w:r w:rsidR="007F1F5B">
              <w:rPr>
                <w:noProof/>
                <w:webHidden/>
              </w:rPr>
              <w:fldChar w:fldCharType="separate"/>
            </w:r>
            <w:r w:rsidR="007F1F5B">
              <w:rPr>
                <w:noProof/>
                <w:webHidden/>
              </w:rPr>
              <w:t>1</w:t>
            </w:r>
            <w:r w:rsidR="007F1F5B">
              <w:rPr>
                <w:noProof/>
                <w:webHidden/>
              </w:rPr>
              <w:fldChar w:fldCharType="end"/>
            </w:r>
          </w:hyperlink>
        </w:p>
        <w:p w:rsidR="007F1F5B" w:rsidRDefault="005178DB">
          <w:pPr>
            <w:pStyle w:val="11"/>
            <w:tabs>
              <w:tab w:val="right" w:leader="dot" w:pos="8296"/>
            </w:tabs>
            <w:ind w:firstLine="440"/>
            <w:rPr>
              <w:rFonts w:asciiTheme="minorHAnsi" w:eastAsiaTheme="minorEastAsia" w:hAnsiTheme="minorHAnsi" w:cstheme="minorBidi"/>
              <w:noProof/>
              <w:kern w:val="2"/>
              <w:sz w:val="21"/>
            </w:rPr>
          </w:pPr>
          <w:hyperlink w:anchor="_Toc492587009" w:history="1">
            <w:r w:rsidR="007F1F5B" w:rsidRPr="007C2387">
              <w:rPr>
                <w:rStyle w:val="a3"/>
                <w:noProof/>
              </w:rPr>
              <w:t xml:space="preserve">2 </w:t>
            </w:r>
            <w:r w:rsidR="007F1F5B" w:rsidRPr="007C2387">
              <w:rPr>
                <w:rStyle w:val="a3"/>
                <w:noProof/>
              </w:rPr>
              <w:t>事件过程</w:t>
            </w:r>
            <w:r w:rsidR="007F1F5B">
              <w:rPr>
                <w:noProof/>
                <w:webHidden/>
              </w:rPr>
              <w:tab/>
            </w:r>
            <w:r w:rsidR="007F1F5B">
              <w:rPr>
                <w:noProof/>
                <w:webHidden/>
              </w:rPr>
              <w:fldChar w:fldCharType="begin"/>
            </w:r>
            <w:r w:rsidR="007F1F5B">
              <w:rPr>
                <w:noProof/>
                <w:webHidden/>
              </w:rPr>
              <w:instrText xml:space="preserve"> PAGEREF _Toc492587009 \h </w:instrText>
            </w:r>
            <w:r w:rsidR="007F1F5B">
              <w:rPr>
                <w:noProof/>
                <w:webHidden/>
              </w:rPr>
            </w:r>
            <w:r w:rsidR="007F1F5B">
              <w:rPr>
                <w:noProof/>
                <w:webHidden/>
              </w:rPr>
              <w:fldChar w:fldCharType="separate"/>
            </w:r>
            <w:r w:rsidR="007F1F5B">
              <w:rPr>
                <w:noProof/>
                <w:webHidden/>
              </w:rPr>
              <w:t>3</w:t>
            </w:r>
            <w:r w:rsidR="007F1F5B">
              <w:rPr>
                <w:noProof/>
                <w:webHidden/>
              </w:rPr>
              <w:fldChar w:fldCharType="end"/>
            </w:r>
          </w:hyperlink>
        </w:p>
        <w:p w:rsidR="007F1F5B" w:rsidRDefault="005178DB">
          <w:pPr>
            <w:pStyle w:val="11"/>
            <w:tabs>
              <w:tab w:val="right" w:leader="dot" w:pos="8296"/>
            </w:tabs>
            <w:ind w:firstLine="440"/>
            <w:rPr>
              <w:rFonts w:asciiTheme="minorHAnsi" w:eastAsiaTheme="minorEastAsia" w:hAnsiTheme="minorHAnsi" w:cstheme="minorBidi"/>
              <w:noProof/>
              <w:kern w:val="2"/>
              <w:sz w:val="21"/>
            </w:rPr>
          </w:pPr>
          <w:hyperlink w:anchor="_Toc492587010" w:history="1">
            <w:r w:rsidR="007F1F5B" w:rsidRPr="007C2387">
              <w:rPr>
                <w:rStyle w:val="a3"/>
                <w:noProof/>
              </w:rPr>
              <w:t xml:space="preserve">3 </w:t>
            </w:r>
            <w:r w:rsidR="007F1F5B" w:rsidRPr="007C2387">
              <w:rPr>
                <w:rStyle w:val="a3"/>
                <w:noProof/>
              </w:rPr>
              <w:t>儿童投资主基金案件详情</w:t>
            </w:r>
            <w:r w:rsidR="007F1F5B">
              <w:rPr>
                <w:noProof/>
                <w:webHidden/>
              </w:rPr>
              <w:tab/>
            </w:r>
            <w:r w:rsidR="007F1F5B">
              <w:rPr>
                <w:noProof/>
                <w:webHidden/>
              </w:rPr>
              <w:fldChar w:fldCharType="begin"/>
            </w:r>
            <w:r w:rsidR="007F1F5B">
              <w:rPr>
                <w:noProof/>
                <w:webHidden/>
              </w:rPr>
              <w:instrText xml:space="preserve"> PAGEREF _Toc492587010 \h </w:instrText>
            </w:r>
            <w:r w:rsidR="007F1F5B">
              <w:rPr>
                <w:noProof/>
                <w:webHidden/>
              </w:rPr>
            </w:r>
            <w:r w:rsidR="007F1F5B">
              <w:rPr>
                <w:noProof/>
                <w:webHidden/>
              </w:rPr>
              <w:fldChar w:fldCharType="separate"/>
            </w:r>
            <w:r w:rsidR="007F1F5B">
              <w:rPr>
                <w:noProof/>
                <w:webHidden/>
              </w:rPr>
              <w:t>4</w:t>
            </w:r>
            <w:r w:rsidR="007F1F5B">
              <w:rPr>
                <w:noProof/>
                <w:webHidden/>
              </w:rPr>
              <w:fldChar w:fldCharType="end"/>
            </w:r>
          </w:hyperlink>
        </w:p>
        <w:p w:rsidR="007F1F5B" w:rsidRDefault="005178DB">
          <w:pPr>
            <w:pStyle w:val="20"/>
            <w:tabs>
              <w:tab w:val="right" w:leader="dot" w:pos="8296"/>
            </w:tabs>
            <w:ind w:firstLine="440"/>
            <w:rPr>
              <w:rFonts w:asciiTheme="minorHAnsi" w:eastAsiaTheme="minorEastAsia" w:hAnsiTheme="minorHAnsi" w:cstheme="minorBidi"/>
              <w:noProof/>
              <w:kern w:val="2"/>
              <w:sz w:val="21"/>
            </w:rPr>
          </w:pPr>
          <w:hyperlink w:anchor="_Toc492587011" w:history="1">
            <w:r w:rsidR="007F1F5B" w:rsidRPr="007C2387">
              <w:rPr>
                <w:rStyle w:val="a3"/>
                <w:noProof/>
              </w:rPr>
              <w:t>3.1</w:t>
            </w:r>
            <w:r w:rsidR="007F1F5B" w:rsidRPr="007C2387">
              <w:rPr>
                <w:rStyle w:val="a3"/>
                <w:noProof/>
              </w:rPr>
              <w:t>对儿童投资主基金案件的法律认定</w:t>
            </w:r>
            <w:r w:rsidR="007F1F5B">
              <w:rPr>
                <w:noProof/>
                <w:webHidden/>
              </w:rPr>
              <w:tab/>
            </w:r>
            <w:r w:rsidR="007F1F5B">
              <w:rPr>
                <w:noProof/>
                <w:webHidden/>
              </w:rPr>
              <w:fldChar w:fldCharType="begin"/>
            </w:r>
            <w:r w:rsidR="007F1F5B">
              <w:rPr>
                <w:noProof/>
                <w:webHidden/>
              </w:rPr>
              <w:instrText xml:space="preserve"> PAGEREF _Toc492587011 \h </w:instrText>
            </w:r>
            <w:r w:rsidR="007F1F5B">
              <w:rPr>
                <w:noProof/>
                <w:webHidden/>
              </w:rPr>
            </w:r>
            <w:r w:rsidR="007F1F5B">
              <w:rPr>
                <w:noProof/>
                <w:webHidden/>
              </w:rPr>
              <w:fldChar w:fldCharType="separate"/>
            </w:r>
            <w:r w:rsidR="007F1F5B">
              <w:rPr>
                <w:noProof/>
                <w:webHidden/>
              </w:rPr>
              <w:t>4</w:t>
            </w:r>
            <w:r w:rsidR="007F1F5B">
              <w:rPr>
                <w:noProof/>
                <w:webHidden/>
              </w:rPr>
              <w:fldChar w:fldCharType="end"/>
            </w:r>
          </w:hyperlink>
        </w:p>
        <w:p w:rsidR="007F1F5B" w:rsidRDefault="005178DB">
          <w:pPr>
            <w:pStyle w:val="20"/>
            <w:tabs>
              <w:tab w:val="right" w:leader="dot" w:pos="8296"/>
            </w:tabs>
            <w:ind w:firstLine="440"/>
            <w:rPr>
              <w:rFonts w:asciiTheme="minorHAnsi" w:eastAsiaTheme="minorEastAsia" w:hAnsiTheme="minorHAnsi" w:cstheme="minorBidi"/>
              <w:noProof/>
              <w:kern w:val="2"/>
              <w:sz w:val="21"/>
            </w:rPr>
          </w:pPr>
          <w:hyperlink w:anchor="_Toc492587012" w:history="1">
            <w:r w:rsidR="007F1F5B" w:rsidRPr="007C2387">
              <w:rPr>
                <w:rStyle w:val="a3"/>
                <w:noProof/>
              </w:rPr>
              <w:t>3.2</w:t>
            </w:r>
            <w:r w:rsidR="007F1F5B" w:rsidRPr="007C2387">
              <w:rPr>
                <w:rStyle w:val="a3"/>
                <w:noProof/>
              </w:rPr>
              <w:t>儿童投资主基金间接转让股权诉讼争议点</w:t>
            </w:r>
            <w:r w:rsidR="007F1F5B">
              <w:rPr>
                <w:noProof/>
                <w:webHidden/>
              </w:rPr>
              <w:tab/>
            </w:r>
            <w:r w:rsidR="007F1F5B">
              <w:rPr>
                <w:noProof/>
                <w:webHidden/>
              </w:rPr>
              <w:fldChar w:fldCharType="begin"/>
            </w:r>
            <w:r w:rsidR="007F1F5B">
              <w:rPr>
                <w:noProof/>
                <w:webHidden/>
              </w:rPr>
              <w:instrText xml:space="preserve"> PAGEREF _Toc492587012 \h </w:instrText>
            </w:r>
            <w:r w:rsidR="007F1F5B">
              <w:rPr>
                <w:noProof/>
                <w:webHidden/>
              </w:rPr>
            </w:r>
            <w:r w:rsidR="007F1F5B">
              <w:rPr>
                <w:noProof/>
                <w:webHidden/>
              </w:rPr>
              <w:fldChar w:fldCharType="separate"/>
            </w:r>
            <w:r w:rsidR="007F1F5B">
              <w:rPr>
                <w:noProof/>
                <w:webHidden/>
              </w:rPr>
              <w:t>4</w:t>
            </w:r>
            <w:r w:rsidR="007F1F5B">
              <w:rPr>
                <w:noProof/>
                <w:webHidden/>
              </w:rPr>
              <w:fldChar w:fldCharType="end"/>
            </w:r>
          </w:hyperlink>
        </w:p>
        <w:p w:rsidR="007F1F5B" w:rsidRDefault="005178DB">
          <w:pPr>
            <w:pStyle w:val="11"/>
            <w:tabs>
              <w:tab w:val="right" w:leader="dot" w:pos="8296"/>
            </w:tabs>
            <w:ind w:firstLine="440"/>
            <w:rPr>
              <w:rFonts w:asciiTheme="minorHAnsi" w:eastAsiaTheme="minorEastAsia" w:hAnsiTheme="minorHAnsi" w:cstheme="minorBidi"/>
              <w:noProof/>
              <w:kern w:val="2"/>
              <w:sz w:val="21"/>
            </w:rPr>
          </w:pPr>
          <w:hyperlink w:anchor="_Toc492587013" w:history="1">
            <w:r w:rsidR="007F1F5B" w:rsidRPr="007C2387">
              <w:rPr>
                <w:rStyle w:val="a3"/>
                <w:noProof/>
              </w:rPr>
              <w:t xml:space="preserve">4 </w:t>
            </w:r>
            <w:r w:rsidR="007F1F5B" w:rsidRPr="007C2387">
              <w:rPr>
                <w:rStyle w:val="a3"/>
                <w:noProof/>
              </w:rPr>
              <w:t>儿童投资主基金案件分析</w:t>
            </w:r>
            <w:r w:rsidR="007F1F5B">
              <w:rPr>
                <w:noProof/>
                <w:webHidden/>
              </w:rPr>
              <w:tab/>
            </w:r>
            <w:r w:rsidR="007F1F5B">
              <w:rPr>
                <w:noProof/>
                <w:webHidden/>
              </w:rPr>
              <w:fldChar w:fldCharType="begin"/>
            </w:r>
            <w:r w:rsidR="007F1F5B">
              <w:rPr>
                <w:noProof/>
                <w:webHidden/>
              </w:rPr>
              <w:instrText xml:space="preserve"> PAGEREF _Toc492587013 \h </w:instrText>
            </w:r>
            <w:r w:rsidR="007F1F5B">
              <w:rPr>
                <w:noProof/>
                <w:webHidden/>
              </w:rPr>
            </w:r>
            <w:r w:rsidR="007F1F5B">
              <w:rPr>
                <w:noProof/>
                <w:webHidden/>
              </w:rPr>
              <w:fldChar w:fldCharType="separate"/>
            </w:r>
            <w:r w:rsidR="007F1F5B">
              <w:rPr>
                <w:noProof/>
                <w:webHidden/>
              </w:rPr>
              <w:t>7</w:t>
            </w:r>
            <w:r w:rsidR="007F1F5B">
              <w:rPr>
                <w:noProof/>
                <w:webHidden/>
              </w:rPr>
              <w:fldChar w:fldCharType="end"/>
            </w:r>
          </w:hyperlink>
        </w:p>
        <w:p w:rsidR="007F1F5B" w:rsidRDefault="005178DB">
          <w:pPr>
            <w:pStyle w:val="20"/>
            <w:tabs>
              <w:tab w:val="right" w:leader="dot" w:pos="8296"/>
            </w:tabs>
            <w:ind w:firstLine="440"/>
            <w:rPr>
              <w:rFonts w:asciiTheme="minorHAnsi" w:eastAsiaTheme="minorEastAsia" w:hAnsiTheme="minorHAnsi" w:cstheme="minorBidi"/>
              <w:noProof/>
              <w:kern w:val="2"/>
              <w:sz w:val="21"/>
            </w:rPr>
          </w:pPr>
          <w:hyperlink w:anchor="_Toc492587014" w:history="1">
            <w:r w:rsidR="007F1F5B" w:rsidRPr="007C2387">
              <w:rPr>
                <w:rStyle w:val="a3"/>
                <w:noProof/>
              </w:rPr>
              <w:t>4.1 CTI</w:t>
            </w:r>
            <w:r w:rsidR="007F1F5B" w:rsidRPr="007C2387">
              <w:rPr>
                <w:rStyle w:val="a3"/>
                <w:noProof/>
              </w:rPr>
              <w:t>公司证据糟糕</w:t>
            </w:r>
            <w:r w:rsidR="007F1F5B">
              <w:rPr>
                <w:noProof/>
                <w:webHidden/>
              </w:rPr>
              <w:tab/>
            </w:r>
            <w:r w:rsidR="007F1F5B">
              <w:rPr>
                <w:noProof/>
                <w:webHidden/>
              </w:rPr>
              <w:fldChar w:fldCharType="begin"/>
            </w:r>
            <w:r w:rsidR="007F1F5B">
              <w:rPr>
                <w:noProof/>
                <w:webHidden/>
              </w:rPr>
              <w:instrText xml:space="preserve"> PAGEREF _Toc492587014 \h </w:instrText>
            </w:r>
            <w:r w:rsidR="007F1F5B">
              <w:rPr>
                <w:noProof/>
                <w:webHidden/>
              </w:rPr>
            </w:r>
            <w:r w:rsidR="007F1F5B">
              <w:rPr>
                <w:noProof/>
                <w:webHidden/>
              </w:rPr>
              <w:fldChar w:fldCharType="separate"/>
            </w:r>
            <w:r w:rsidR="007F1F5B">
              <w:rPr>
                <w:noProof/>
                <w:webHidden/>
              </w:rPr>
              <w:t>7</w:t>
            </w:r>
            <w:r w:rsidR="007F1F5B">
              <w:rPr>
                <w:noProof/>
                <w:webHidden/>
              </w:rPr>
              <w:fldChar w:fldCharType="end"/>
            </w:r>
          </w:hyperlink>
        </w:p>
        <w:p w:rsidR="007F1F5B" w:rsidRDefault="005178DB">
          <w:pPr>
            <w:pStyle w:val="20"/>
            <w:tabs>
              <w:tab w:val="right" w:leader="dot" w:pos="8296"/>
            </w:tabs>
            <w:ind w:firstLine="440"/>
            <w:rPr>
              <w:rFonts w:asciiTheme="minorHAnsi" w:eastAsiaTheme="minorEastAsia" w:hAnsiTheme="minorHAnsi" w:cstheme="minorBidi"/>
              <w:noProof/>
              <w:kern w:val="2"/>
              <w:sz w:val="21"/>
            </w:rPr>
          </w:pPr>
          <w:hyperlink w:anchor="_Toc492587015" w:history="1">
            <w:r w:rsidR="007F1F5B" w:rsidRPr="007C2387">
              <w:rPr>
                <w:rStyle w:val="a3"/>
                <w:noProof/>
              </w:rPr>
              <w:t xml:space="preserve">4.2 </w:t>
            </w:r>
            <w:r w:rsidR="007F1F5B" w:rsidRPr="007C2387">
              <w:rPr>
                <w:rStyle w:val="a3"/>
                <w:noProof/>
              </w:rPr>
              <w:t>法律法规对于</w:t>
            </w:r>
            <w:r w:rsidR="007F1F5B" w:rsidRPr="007C2387">
              <w:rPr>
                <w:rStyle w:val="a3"/>
                <w:noProof/>
              </w:rPr>
              <w:t>“</w:t>
            </w:r>
            <w:r w:rsidR="007F1F5B" w:rsidRPr="007C2387">
              <w:rPr>
                <w:rStyle w:val="a3"/>
                <w:noProof/>
              </w:rPr>
              <w:t>实质经营活动</w:t>
            </w:r>
            <w:r w:rsidR="007F1F5B" w:rsidRPr="007C2387">
              <w:rPr>
                <w:rStyle w:val="a3"/>
                <w:noProof/>
              </w:rPr>
              <w:t>”</w:t>
            </w:r>
            <w:r w:rsidR="007F1F5B" w:rsidRPr="007C2387">
              <w:rPr>
                <w:rStyle w:val="a3"/>
                <w:noProof/>
              </w:rPr>
              <w:t>、</w:t>
            </w:r>
            <w:r w:rsidR="007F1F5B" w:rsidRPr="007C2387">
              <w:rPr>
                <w:rStyle w:val="a3"/>
                <w:noProof/>
              </w:rPr>
              <w:t>“</w:t>
            </w:r>
            <w:r w:rsidR="007F1F5B" w:rsidRPr="007C2387">
              <w:rPr>
                <w:rStyle w:val="a3"/>
                <w:noProof/>
              </w:rPr>
              <w:t>合理商业目的</w:t>
            </w:r>
            <w:r w:rsidR="007F1F5B" w:rsidRPr="007C2387">
              <w:rPr>
                <w:rStyle w:val="a3"/>
                <w:noProof/>
              </w:rPr>
              <w:t>”</w:t>
            </w:r>
            <w:r w:rsidR="007F1F5B" w:rsidRPr="007C2387">
              <w:rPr>
                <w:rStyle w:val="a3"/>
                <w:noProof/>
              </w:rPr>
              <w:t>等规定模糊</w:t>
            </w:r>
            <w:r w:rsidR="007F1F5B">
              <w:rPr>
                <w:noProof/>
                <w:webHidden/>
              </w:rPr>
              <w:tab/>
            </w:r>
            <w:r w:rsidR="007F1F5B">
              <w:rPr>
                <w:noProof/>
                <w:webHidden/>
              </w:rPr>
              <w:fldChar w:fldCharType="begin"/>
            </w:r>
            <w:r w:rsidR="007F1F5B">
              <w:rPr>
                <w:noProof/>
                <w:webHidden/>
              </w:rPr>
              <w:instrText xml:space="preserve"> PAGEREF _Toc492587015 \h </w:instrText>
            </w:r>
            <w:r w:rsidR="007F1F5B">
              <w:rPr>
                <w:noProof/>
                <w:webHidden/>
              </w:rPr>
            </w:r>
            <w:r w:rsidR="007F1F5B">
              <w:rPr>
                <w:noProof/>
                <w:webHidden/>
              </w:rPr>
              <w:fldChar w:fldCharType="separate"/>
            </w:r>
            <w:r w:rsidR="007F1F5B">
              <w:rPr>
                <w:noProof/>
                <w:webHidden/>
              </w:rPr>
              <w:t>7</w:t>
            </w:r>
            <w:r w:rsidR="007F1F5B">
              <w:rPr>
                <w:noProof/>
                <w:webHidden/>
              </w:rPr>
              <w:fldChar w:fldCharType="end"/>
            </w:r>
          </w:hyperlink>
        </w:p>
        <w:p w:rsidR="007F1F5B" w:rsidRDefault="005178DB">
          <w:pPr>
            <w:pStyle w:val="20"/>
            <w:tabs>
              <w:tab w:val="right" w:leader="dot" w:pos="8296"/>
            </w:tabs>
            <w:ind w:firstLine="440"/>
            <w:rPr>
              <w:rFonts w:asciiTheme="minorHAnsi" w:eastAsiaTheme="minorEastAsia" w:hAnsiTheme="minorHAnsi" w:cstheme="minorBidi"/>
              <w:noProof/>
              <w:kern w:val="2"/>
              <w:sz w:val="21"/>
            </w:rPr>
          </w:pPr>
          <w:hyperlink w:anchor="_Toc492587016" w:history="1">
            <w:r w:rsidR="007F1F5B" w:rsidRPr="007C2387">
              <w:rPr>
                <w:rStyle w:val="a3"/>
                <w:noProof/>
              </w:rPr>
              <w:t xml:space="preserve">4.3 </w:t>
            </w:r>
            <w:r w:rsidR="007F1F5B" w:rsidRPr="007C2387">
              <w:rPr>
                <w:rStyle w:val="a3"/>
                <w:noProof/>
              </w:rPr>
              <w:t>儿童投资主基金案的再定性</w:t>
            </w:r>
            <w:r w:rsidR="007F1F5B">
              <w:rPr>
                <w:noProof/>
                <w:webHidden/>
              </w:rPr>
              <w:tab/>
            </w:r>
            <w:r w:rsidR="007F1F5B">
              <w:rPr>
                <w:noProof/>
                <w:webHidden/>
              </w:rPr>
              <w:fldChar w:fldCharType="begin"/>
            </w:r>
            <w:r w:rsidR="007F1F5B">
              <w:rPr>
                <w:noProof/>
                <w:webHidden/>
              </w:rPr>
              <w:instrText xml:space="preserve"> PAGEREF _Toc492587016 \h </w:instrText>
            </w:r>
            <w:r w:rsidR="007F1F5B">
              <w:rPr>
                <w:noProof/>
                <w:webHidden/>
              </w:rPr>
            </w:r>
            <w:r w:rsidR="007F1F5B">
              <w:rPr>
                <w:noProof/>
                <w:webHidden/>
              </w:rPr>
              <w:fldChar w:fldCharType="separate"/>
            </w:r>
            <w:r w:rsidR="007F1F5B">
              <w:rPr>
                <w:noProof/>
                <w:webHidden/>
              </w:rPr>
              <w:t>8</w:t>
            </w:r>
            <w:r w:rsidR="007F1F5B">
              <w:rPr>
                <w:noProof/>
                <w:webHidden/>
              </w:rPr>
              <w:fldChar w:fldCharType="end"/>
            </w:r>
          </w:hyperlink>
        </w:p>
        <w:p w:rsidR="007F1F5B" w:rsidRDefault="005178DB">
          <w:pPr>
            <w:pStyle w:val="11"/>
            <w:tabs>
              <w:tab w:val="right" w:leader="dot" w:pos="8296"/>
            </w:tabs>
            <w:ind w:firstLine="440"/>
            <w:rPr>
              <w:rFonts w:asciiTheme="minorHAnsi" w:eastAsiaTheme="minorEastAsia" w:hAnsiTheme="minorHAnsi" w:cstheme="minorBidi"/>
              <w:noProof/>
              <w:kern w:val="2"/>
              <w:sz w:val="21"/>
            </w:rPr>
          </w:pPr>
          <w:hyperlink w:anchor="_Toc492587017" w:history="1">
            <w:r w:rsidR="007F1F5B" w:rsidRPr="007C2387">
              <w:rPr>
                <w:rStyle w:val="a3"/>
                <w:noProof/>
              </w:rPr>
              <w:t xml:space="preserve">5 </w:t>
            </w:r>
            <w:r w:rsidR="007F1F5B" w:rsidRPr="007C2387">
              <w:rPr>
                <w:rStyle w:val="a3"/>
                <w:noProof/>
              </w:rPr>
              <w:t>儿童投资主基金案件的价值</w:t>
            </w:r>
            <w:r w:rsidR="007F1F5B">
              <w:rPr>
                <w:noProof/>
                <w:webHidden/>
              </w:rPr>
              <w:tab/>
            </w:r>
            <w:r w:rsidR="007F1F5B">
              <w:rPr>
                <w:noProof/>
                <w:webHidden/>
              </w:rPr>
              <w:fldChar w:fldCharType="begin"/>
            </w:r>
            <w:r w:rsidR="007F1F5B">
              <w:rPr>
                <w:noProof/>
                <w:webHidden/>
              </w:rPr>
              <w:instrText xml:space="preserve"> PAGEREF _Toc492587017 \h </w:instrText>
            </w:r>
            <w:r w:rsidR="007F1F5B">
              <w:rPr>
                <w:noProof/>
                <w:webHidden/>
              </w:rPr>
            </w:r>
            <w:r w:rsidR="007F1F5B">
              <w:rPr>
                <w:noProof/>
                <w:webHidden/>
              </w:rPr>
              <w:fldChar w:fldCharType="separate"/>
            </w:r>
            <w:r w:rsidR="007F1F5B">
              <w:rPr>
                <w:noProof/>
                <w:webHidden/>
              </w:rPr>
              <w:t>11</w:t>
            </w:r>
            <w:r w:rsidR="007F1F5B">
              <w:rPr>
                <w:noProof/>
                <w:webHidden/>
              </w:rPr>
              <w:fldChar w:fldCharType="end"/>
            </w:r>
          </w:hyperlink>
        </w:p>
        <w:p w:rsidR="007F1F5B" w:rsidRDefault="005178DB">
          <w:pPr>
            <w:pStyle w:val="20"/>
            <w:tabs>
              <w:tab w:val="right" w:leader="dot" w:pos="8296"/>
            </w:tabs>
            <w:ind w:firstLine="440"/>
            <w:rPr>
              <w:rFonts w:asciiTheme="minorHAnsi" w:eastAsiaTheme="minorEastAsia" w:hAnsiTheme="minorHAnsi" w:cstheme="minorBidi"/>
              <w:noProof/>
              <w:kern w:val="2"/>
              <w:sz w:val="21"/>
            </w:rPr>
          </w:pPr>
          <w:hyperlink w:anchor="_Toc492587018" w:history="1">
            <w:r w:rsidR="007F1F5B" w:rsidRPr="007C2387">
              <w:rPr>
                <w:rStyle w:val="a3"/>
                <w:noProof/>
              </w:rPr>
              <w:t>5.1</w:t>
            </w:r>
            <w:r w:rsidR="007F1F5B" w:rsidRPr="007C2387">
              <w:rPr>
                <w:rStyle w:val="a3"/>
                <w:noProof/>
              </w:rPr>
              <w:t>法律价值</w:t>
            </w:r>
            <w:r w:rsidR="007F1F5B">
              <w:rPr>
                <w:noProof/>
                <w:webHidden/>
              </w:rPr>
              <w:tab/>
            </w:r>
            <w:r w:rsidR="007F1F5B">
              <w:rPr>
                <w:noProof/>
                <w:webHidden/>
              </w:rPr>
              <w:fldChar w:fldCharType="begin"/>
            </w:r>
            <w:r w:rsidR="007F1F5B">
              <w:rPr>
                <w:noProof/>
                <w:webHidden/>
              </w:rPr>
              <w:instrText xml:space="preserve"> PAGEREF _Toc492587018 \h </w:instrText>
            </w:r>
            <w:r w:rsidR="007F1F5B">
              <w:rPr>
                <w:noProof/>
                <w:webHidden/>
              </w:rPr>
            </w:r>
            <w:r w:rsidR="007F1F5B">
              <w:rPr>
                <w:noProof/>
                <w:webHidden/>
              </w:rPr>
              <w:fldChar w:fldCharType="separate"/>
            </w:r>
            <w:r w:rsidR="007F1F5B">
              <w:rPr>
                <w:noProof/>
                <w:webHidden/>
              </w:rPr>
              <w:t>11</w:t>
            </w:r>
            <w:r w:rsidR="007F1F5B">
              <w:rPr>
                <w:noProof/>
                <w:webHidden/>
              </w:rPr>
              <w:fldChar w:fldCharType="end"/>
            </w:r>
          </w:hyperlink>
        </w:p>
        <w:p w:rsidR="007F1F5B" w:rsidRDefault="005178DB">
          <w:pPr>
            <w:pStyle w:val="20"/>
            <w:tabs>
              <w:tab w:val="right" w:leader="dot" w:pos="8296"/>
            </w:tabs>
            <w:ind w:firstLine="440"/>
            <w:rPr>
              <w:rFonts w:asciiTheme="minorHAnsi" w:eastAsiaTheme="minorEastAsia" w:hAnsiTheme="minorHAnsi" w:cstheme="minorBidi"/>
              <w:noProof/>
              <w:kern w:val="2"/>
              <w:sz w:val="21"/>
            </w:rPr>
          </w:pPr>
          <w:hyperlink w:anchor="_Toc492587019" w:history="1">
            <w:r w:rsidR="007F1F5B" w:rsidRPr="007C2387">
              <w:rPr>
                <w:rStyle w:val="a3"/>
                <w:noProof/>
              </w:rPr>
              <w:t>5.2</w:t>
            </w:r>
            <w:r w:rsidR="007F1F5B" w:rsidRPr="007C2387">
              <w:rPr>
                <w:rStyle w:val="a3"/>
                <w:noProof/>
              </w:rPr>
              <w:t>对非居民企业的启示</w:t>
            </w:r>
            <w:r w:rsidR="007F1F5B">
              <w:rPr>
                <w:noProof/>
                <w:webHidden/>
              </w:rPr>
              <w:tab/>
            </w:r>
            <w:r w:rsidR="007F1F5B">
              <w:rPr>
                <w:noProof/>
                <w:webHidden/>
              </w:rPr>
              <w:fldChar w:fldCharType="begin"/>
            </w:r>
            <w:r w:rsidR="007F1F5B">
              <w:rPr>
                <w:noProof/>
                <w:webHidden/>
              </w:rPr>
              <w:instrText xml:space="preserve"> PAGEREF _Toc492587019 \h </w:instrText>
            </w:r>
            <w:r w:rsidR="007F1F5B">
              <w:rPr>
                <w:noProof/>
                <w:webHidden/>
              </w:rPr>
            </w:r>
            <w:r w:rsidR="007F1F5B">
              <w:rPr>
                <w:noProof/>
                <w:webHidden/>
              </w:rPr>
              <w:fldChar w:fldCharType="separate"/>
            </w:r>
            <w:r w:rsidR="007F1F5B">
              <w:rPr>
                <w:noProof/>
                <w:webHidden/>
              </w:rPr>
              <w:t>12</w:t>
            </w:r>
            <w:r w:rsidR="007F1F5B">
              <w:rPr>
                <w:noProof/>
                <w:webHidden/>
              </w:rPr>
              <w:fldChar w:fldCharType="end"/>
            </w:r>
          </w:hyperlink>
        </w:p>
        <w:p w:rsidR="007F1F5B" w:rsidRDefault="005178DB">
          <w:pPr>
            <w:pStyle w:val="11"/>
            <w:tabs>
              <w:tab w:val="right" w:leader="dot" w:pos="8296"/>
            </w:tabs>
            <w:ind w:firstLine="440"/>
            <w:rPr>
              <w:rFonts w:asciiTheme="minorHAnsi" w:eastAsiaTheme="minorEastAsia" w:hAnsiTheme="minorHAnsi" w:cstheme="minorBidi"/>
              <w:noProof/>
              <w:kern w:val="2"/>
              <w:sz w:val="21"/>
            </w:rPr>
          </w:pPr>
          <w:hyperlink w:anchor="_Toc492587020" w:history="1">
            <w:r w:rsidR="007F1F5B" w:rsidRPr="007C2387">
              <w:rPr>
                <w:rStyle w:val="a3"/>
                <w:noProof/>
              </w:rPr>
              <w:t xml:space="preserve">6 </w:t>
            </w:r>
            <w:r w:rsidR="007F1F5B" w:rsidRPr="007C2387">
              <w:rPr>
                <w:rStyle w:val="a3"/>
                <w:noProof/>
              </w:rPr>
              <w:t>前路与希望</w:t>
            </w:r>
            <w:r w:rsidR="007F1F5B">
              <w:rPr>
                <w:noProof/>
                <w:webHidden/>
              </w:rPr>
              <w:tab/>
            </w:r>
            <w:r w:rsidR="007F1F5B">
              <w:rPr>
                <w:noProof/>
                <w:webHidden/>
              </w:rPr>
              <w:fldChar w:fldCharType="begin"/>
            </w:r>
            <w:r w:rsidR="007F1F5B">
              <w:rPr>
                <w:noProof/>
                <w:webHidden/>
              </w:rPr>
              <w:instrText xml:space="preserve"> PAGEREF _Toc492587020 \h </w:instrText>
            </w:r>
            <w:r w:rsidR="007F1F5B">
              <w:rPr>
                <w:noProof/>
                <w:webHidden/>
              </w:rPr>
            </w:r>
            <w:r w:rsidR="007F1F5B">
              <w:rPr>
                <w:noProof/>
                <w:webHidden/>
              </w:rPr>
              <w:fldChar w:fldCharType="separate"/>
            </w:r>
            <w:r w:rsidR="007F1F5B">
              <w:rPr>
                <w:noProof/>
                <w:webHidden/>
              </w:rPr>
              <w:t>13</w:t>
            </w:r>
            <w:r w:rsidR="007F1F5B">
              <w:rPr>
                <w:noProof/>
                <w:webHidden/>
              </w:rPr>
              <w:fldChar w:fldCharType="end"/>
            </w:r>
          </w:hyperlink>
        </w:p>
        <w:p w:rsidR="007F1F5B" w:rsidRDefault="005178DB">
          <w:pPr>
            <w:pStyle w:val="11"/>
            <w:tabs>
              <w:tab w:val="right" w:leader="dot" w:pos="8296"/>
            </w:tabs>
            <w:ind w:firstLine="440"/>
            <w:rPr>
              <w:rFonts w:asciiTheme="minorHAnsi" w:eastAsiaTheme="minorEastAsia" w:hAnsiTheme="minorHAnsi" w:cstheme="minorBidi"/>
              <w:noProof/>
              <w:kern w:val="2"/>
              <w:sz w:val="21"/>
            </w:rPr>
          </w:pPr>
          <w:hyperlink w:anchor="_Toc492587021" w:history="1">
            <w:r w:rsidR="007F1F5B" w:rsidRPr="007C2387">
              <w:rPr>
                <w:rStyle w:val="a3"/>
                <w:noProof/>
              </w:rPr>
              <w:t>案例参考文献</w:t>
            </w:r>
            <w:r w:rsidR="007F1F5B">
              <w:rPr>
                <w:noProof/>
                <w:webHidden/>
              </w:rPr>
              <w:tab/>
            </w:r>
            <w:r w:rsidR="007F1F5B">
              <w:rPr>
                <w:noProof/>
                <w:webHidden/>
              </w:rPr>
              <w:fldChar w:fldCharType="begin"/>
            </w:r>
            <w:r w:rsidR="007F1F5B">
              <w:rPr>
                <w:noProof/>
                <w:webHidden/>
              </w:rPr>
              <w:instrText xml:space="preserve"> PAGEREF _Toc492587021 \h </w:instrText>
            </w:r>
            <w:r w:rsidR="007F1F5B">
              <w:rPr>
                <w:noProof/>
                <w:webHidden/>
              </w:rPr>
            </w:r>
            <w:r w:rsidR="007F1F5B">
              <w:rPr>
                <w:noProof/>
                <w:webHidden/>
              </w:rPr>
              <w:fldChar w:fldCharType="separate"/>
            </w:r>
            <w:r w:rsidR="007F1F5B">
              <w:rPr>
                <w:noProof/>
                <w:webHidden/>
              </w:rPr>
              <w:t>14</w:t>
            </w:r>
            <w:r w:rsidR="007F1F5B">
              <w:rPr>
                <w:noProof/>
                <w:webHidden/>
              </w:rPr>
              <w:fldChar w:fldCharType="end"/>
            </w:r>
          </w:hyperlink>
        </w:p>
        <w:p w:rsidR="007F1F5B" w:rsidRDefault="005178DB">
          <w:pPr>
            <w:pStyle w:val="11"/>
            <w:tabs>
              <w:tab w:val="right" w:leader="dot" w:pos="8296"/>
            </w:tabs>
            <w:ind w:firstLine="440"/>
            <w:rPr>
              <w:rFonts w:asciiTheme="minorHAnsi" w:eastAsiaTheme="minorEastAsia" w:hAnsiTheme="minorHAnsi" w:cstheme="minorBidi"/>
              <w:noProof/>
              <w:kern w:val="2"/>
              <w:sz w:val="21"/>
            </w:rPr>
          </w:pPr>
          <w:hyperlink w:anchor="_Toc492587022" w:history="1">
            <w:r w:rsidR="007F1F5B" w:rsidRPr="007C2387">
              <w:rPr>
                <w:rStyle w:val="a3"/>
                <w:noProof/>
              </w:rPr>
              <w:t>案例附注</w:t>
            </w:r>
            <w:r w:rsidR="007F1F5B">
              <w:rPr>
                <w:noProof/>
                <w:webHidden/>
              </w:rPr>
              <w:tab/>
            </w:r>
            <w:r w:rsidR="007F1F5B">
              <w:rPr>
                <w:noProof/>
                <w:webHidden/>
              </w:rPr>
              <w:fldChar w:fldCharType="begin"/>
            </w:r>
            <w:r w:rsidR="007F1F5B">
              <w:rPr>
                <w:noProof/>
                <w:webHidden/>
              </w:rPr>
              <w:instrText xml:space="preserve"> PAGEREF _Toc492587022 \h </w:instrText>
            </w:r>
            <w:r w:rsidR="007F1F5B">
              <w:rPr>
                <w:noProof/>
                <w:webHidden/>
              </w:rPr>
            </w:r>
            <w:r w:rsidR="007F1F5B">
              <w:rPr>
                <w:noProof/>
                <w:webHidden/>
              </w:rPr>
              <w:fldChar w:fldCharType="separate"/>
            </w:r>
            <w:r w:rsidR="007F1F5B">
              <w:rPr>
                <w:noProof/>
                <w:webHidden/>
              </w:rPr>
              <w:t>15</w:t>
            </w:r>
            <w:r w:rsidR="007F1F5B">
              <w:rPr>
                <w:noProof/>
                <w:webHidden/>
              </w:rPr>
              <w:fldChar w:fldCharType="end"/>
            </w:r>
          </w:hyperlink>
        </w:p>
        <w:p w:rsidR="007F1F5B" w:rsidRDefault="005178DB">
          <w:pPr>
            <w:pStyle w:val="11"/>
            <w:tabs>
              <w:tab w:val="right" w:leader="dot" w:pos="8296"/>
            </w:tabs>
            <w:ind w:firstLine="440"/>
            <w:rPr>
              <w:rFonts w:asciiTheme="minorHAnsi" w:eastAsiaTheme="minorEastAsia" w:hAnsiTheme="minorHAnsi" w:cstheme="minorBidi"/>
              <w:noProof/>
              <w:kern w:val="2"/>
              <w:sz w:val="21"/>
            </w:rPr>
          </w:pPr>
          <w:hyperlink w:anchor="_Toc492587023" w:history="1">
            <w:r w:rsidR="007F1F5B" w:rsidRPr="007C2387">
              <w:rPr>
                <w:rStyle w:val="a3"/>
                <w:noProof/>
              </w:rPr>
              <w:t>案例附件：</w:t>
            </w:r>
            <w:r w:rsidR="007F1F5B">
              <w:rPr>
                <w:noProof/>
                <w:webHidden/>
              </w:rPr>
              <w:tab/>
            </w:r>
            <w:r w:rsidR="007F1F5B">
              <w:rPr>
                <w:noProof/>
                <w:webHidden/>
              </w:rPr>
              <w:fldChar w:fldCharType="begin"/>
            </w:r>
            <w:r w:rsidR="007F1F5B">
              <w:rPr>
                <w:noProof/>
                <w:webHidden/>
              </w:rPr>
              <w:instrText xml:space="preserve"> PAGEREF _Toc492587023 \h </w:instrText>
            </w:r>
            <w:r w:rsidR="007F1F5B">
              <w:rPr>
                <w:noProof/>
                <w:webHidden/>
              </w:rPr>
            </w:r>
            <w:r w:rsidR="007F1F5B">
              <w:rPr>
                <w:noProof/>
                <w:webHidden/>
              </w:rPr>
              <w:fldChar w:fldCharType="separate"/>
            </w:r>
            <w:r w:rsidR="007F1F5B">
              <w:rPr>
                <w:noProof/>
                <w:webHidden/>
              </w:rPr>
              <w:t>17</w:t>
            </w:r>
            <w:r w:rsidR="007F1F5B">
              <w:rPr>
                <w:noProof/>
                <w:webHidden/>
              </w:rPr>
              <w:fldChar w:fldCharType="end"/>
            </w:r>
          </w:hyperlink>
        </w:p>
        <w:p w:rsidR="00195D2C" w:rsidRDefault="00195D2C">
          <w:pPr>
            <w:ind w:firstLine="482"/>
          </w:pPr>
          <w:r>
            <w:rPr>
              <w:b/>
              <w:bCs/>
              <w:lang w:val="zh-CN"/>
            </w:rPr>
            <w:fldChar w:fldCharType="end"/>
          </w:r>
        </w:p>
      </w:sdtContent>
    </w:sdt>
    <w:p w:rsidR="00054E1D" w:rsidRDefault="00054E1D" w:rsidP="00054E1D">
      <w:pPr>
        <w:ind w:firstLine="480"/>
        <w:rPr>
          <w:rFonts w:cs="Times New Roman"/>
          <w:szCs w:val="24"/>
        </w:rPr>
      </w:pPr>
    </w:p>
    <w:p w:rsidR="00054E1D" w:rsidRDefault="00054E1D" w:rsidP="00BA6481">
      <w:pPr>
        <w:ind w:firstLine="480"/>
        <w:rPr>
          <w:rFonts w:cs="Times New Roman"/>
          <w:szCs w:val="24"/>
        </w:rPr>
        <w:sectPr w:rsidR="00054E1D" w:rsidSect="008800EB">
          <w:pgSz w:w="11906" w:h="16838"/>
          <w:pgMar w:top="1440" w:right="1800" w:bottom="1440" w:left="1800" w:header="851" w:footer="992" w:gutter="0"/>
          <w:pgNumType w:fmt="upperRoman"/>
          <w:cols w:space="425"/>
          <w:docGrid w:type="lines" w:linePitch="312"/>
        </w:sectPr>
      </w:pPr>
      <w:bookmarkStart w:id="2" w:name="_GoBack"/>
      <w:bookmarkEnd w:id="2"/>
    </w:p>
    <w:p w:rsidR="000C0CB2" w:rsidRPr="00F50027" w:rsidRDefault="005E0CEE" w:rsidP="00F50027">
      <w:pPr>
        <w:pStyle w:val="1"/>
        <w:ind w:firstLine="643"/>
      </w:pPr>
      <w:bookmarkStart w:id="3" w:name="_Toc492587008"/>
      <w:r>
        <w:lastRenderedPageBreak/>
        <w:t>1</w:t>
      </w:r>
      <w:r w:rsidR="000C0CB2" w:rsidRPr="00F50027">
        <w:t xml:space="preserve"> </w:t>
      </w:r>
      <w:r w:rsidR="000C0CB2" w:rsidRPr="00F50027">
        <w:rPr>
          <w:rFonts w:hint="eastAsia"/>
        </w:rPr>
        <w:t>引言</w:t>
      </w:r>
      <w:bookmarkEnd w:id="3"/>
    </w:p>
    <w:p w:rsidR="00EC0709" w:rsidRPr="002A2A1C" w:rsidRDefault="000B02C4" w:rsidP="00925894">
      <w:pPr>
        <w:ind w:firstLine="480"/>
      </w:pPr>
      <w:r w:rsidRPr="002A2A1C">
        <w:t>2011</w:t>
      </w:r>
      <w:r w:rsidRPr="002A2A1C">
        <w:t>年</w:t>
      </w:r>
      <w:r w:rsidR="00FB0413" w:rsidRPr="002A2A1C">
        <w:rPr>
          <w:rFonts w:hint="eastAsia"/>
        </w:rPr>
        <w:t>9</w:t>
      </w:r>
      <w:r w:rsidR="00FB0413" w:rsidRPr="002A2A1C">
        <w:rPr>
          <w:rFonts w:hint="eastAsia"/>
        </w:rPr>
        <w:t>月</w:t>
      </w:r>
      <w:r w:rsidR="000C66BB">
        <w:t>，</w:t>
      </w:r>
      <w:r w:rsidR="00917728">
        <w:t>杭州市西湖区国税局收到</w:t>
      </w:r>
      <w:r w:rsidRPr="002A2A1C">
        <w:t>国外律师行的函件</w:t>
      </w:r>
      <w:r w:rsidR="000C66BB">
        <w:t>，</w:t>
      </w:r>
      <w:r w:rsidRPr="002A2A1C">
        <w:t>询问儿童投资主基金间接转让境内</w:t>
      </w:r>
      <w:r w:rsidRPr="002A2A1C">
        <w:rPr>
          <w:rFonts w:hint="eastAsia"/>
        </w:rPr>
        <w:t>杭州国益路桥经营管理</w:t>
      </w:r>
      <w:r w:rsidRPr="002A2A1C">
        <w:t>公司</w:t>
      </w:r>
      <w:r w:rsidR="009A79A3" w:rsidRPr="002A2A1C">
        <w:rPr>
          <w:rFonts w:hint="eastAsia"/>
        </w:rPr>
        <w:t>的</w:t>
      </w:r>
      <w:r w:rsidR="009A79A3" w:rsidRPr="002A2A1C">
        <w:t>股权是否要征税。当时</w:t>
      </w:r>
      <w:r w:rsidR="000C66BB">
        <w:t>，</w:t>
      </w:r>
      <w:r w:rsidR="009A79A3" w:rsidRPr="002A2A1C">
        <w:rPr>
          <w:rFonts w:hint="eastAsia"/>
        </w:rPr>
        <w:t>杭州</w:t>
      </w:r>
      <w:r w:rsidRPr="002A2A1C">
        <w:t>市从未办理过非居民间接股权转让的案件</w:t>
      </w:r>
      <w:r w:rsidR="000C66BB">
        <w:t>，</w:t>
      </w:r>
      <w:r w:rsidRPr="002A2A1C">
        <w:t>《国家税务总</w:t>
      </w:r>
      <w:r w:rsidR="00EC0709" w:rsidRPr="002A2A1C">
        <w:t>局关于加强非居民企业股权转让所得企业所得税管理的通知》（国税函</w:t>
      </w:r>
      <w:r w:rsidR="00EC0709" w:rsidRPr="002A2A1C">
        <w:t>[</w:t>
      </w:r>
      <w:r w:rsidRPr="002A2A1C">
        <w:t>2009</w:t>
      </w:r>
      <w:r w:rsidR="00EC0709" w:rsidRPr="002A2A1C">
        <w:t>]</w:t>
      </w:r>
      <w:r w:rsidRPr="002A2A1C">
        <w:t>698</w:t>
      </w:r>
      <w:r w:rsidRPr="002A2A1C">
        <w:t>号）</w:t>
      </w:r>
      <w:r w:rsidR="00917728">
        <w:rPr>
          <w:rFonts w:hint="eastAsia"/>
        </w:rPr>
        <w:t>（以下简称</w:t>
      </w:r>
      <w:r w:rsidR="00917728">
        <w:rPr>
          <w:rFonts w:hint="eastAsia"/>
        </w:rPr>
        <w:t>6</w:t>
      </w:r>
      <w:r w:rsidR="00917728">
        <w:t>98</w:t>
      </w:r>
      <w:r w:rsidR="00917728">
        <w:rPr>
          <w:rFonts w:hint="eastAsia"/>
        </w:rPr>
        <w:t>号文）</w:t>
      </w:r>
      <w:r w:rsidRPr="002A2A1C">
        <w:t>虽然</w:t>
      </w:r>
      <w:r w:rsidR="00EC0709" w:rsidRPr="002A2A1C">
        <w:rPr>
          <w:rFonts w:hint="eastAsia"/>
        </w:rPr>
        <w:t>已经生效</w:t>
      </w:r>
      <w:r w:rsidR="000C66BB">
        <w:t>，</w:t>
      </w:r>
      <w:r w:rsidRPr="002A2A1C">
        <w:t>但</w:t>
      </w:r>
      <w:r w:rsidR="00AA0174">
        <w:rPr>
          <w:rFonts w:hint="eastAsia"/>
        </w:rPr>
        <w:t>并没有人真正做过“穿透”</w:t>
      </w:r>
      <w:r w:rsidR="00EC0709" w:rsidRPr="002A2A1C">
        <w:rPr>
          <w:rFonts w:hint="eastAsia"/>
        </w:rPr>
        <w:t>。</w:t>
      </w:r>
    </w:p>
    <w:p w:rsidR="00EC0709" w:rsidRPr="002A2A1C" w:rsidRDefault="00AA0174" w:rsidP="00925894">
      <w:pPr>
        <w:ind w:firstLine="480"/>
      </w:pPr>
      <w:r>
        <w:rPr>
          <w:rFonts w:hint="eastAsia"/>
        </w:rPr>
        <w:t>于是，</w:t>
      </w:r>
      <w:r w:rsidR="00EC0709" w:rsidRPr="002A2A1C">
        <w:t>税务人员</w:t>
      </w:r>
      <w:r w:rsidR="00EC0709" w:rsidRPr="002A2A1C">
        <w:rPr>
          <w:rFonts w:hint="eastAsia"/>
        </w:rPr>
        <w:t>从当时国内仅有的几份公开报道如重庆案例、江苏启东案例中寻找经验。在认真分析了这些案例之后</w:t>
      </w:r>
      <w:r w:rsidR="000C66BB">
        <w:rPr>
          <w:rFonts w:hint="eastAsia"/>
        </w:rPr>
        <w:t>，</w:t>
      </w:r>
      <w:r w:rsidR="00EC0709" w:rsidRPr="002A2A1C">
        <w:rPr>
          <w:rFonts w:hint="eastAsia"/>
        </w:rPr>
        <w:t>税务人员了找到了关键所在：中间层公司的情况。</w:t>
      </w:r>
    </w:p>
    <w:p w:rsidR="00FB1855" w:rsidRPr="002A2A1C" w:rsidRDefault="00F9709A" w:rsidP="00925894">
      <w:pPr>
        <w:ind w:firstLine="480"/>
      </w:pPr>
      <w:r w:rsidRPr="002A2A1C">
        <w:rPr>
          <w:rFonts w:hint="eastAsia"/>
        </w:rPr>
        <w:t>于是</w:t>
      </w:r>
      <w:r w:rsidR="000C66BB">
        <w:rPr>
          <w:rFonts w:hint="eastAsia"/>
        </w:rPr>
        <w:t>，</w:t>
      </w:r>
      <w:r w:rsidR="00FB1855" w:rsidRPr="002A2A1C">
        <w:rPr>
          <w:rFonts w:hint="eastAsia"/>
        </w:rPr>
        <w:t>税务人员通过</w:t>
      </w:r>
      <w:r w:rsidR="009F6648" w:rsidRPr="002A2A1C">
        <w:rPr>
          <w:rFonts w:hint="eastAsia"/>
        </w:rPr>
        <w:t>收购方</w:t>
      </w:r>
      <w:proofErr w:type="spellStart"/>
      <w:r w:rsidR="009F6648" w:rsidRPr="002A2A1C">
        <w:t>Moscan</w:t>
      </w:r>
      <w:proofErr w:type="spellEnd"/>
      <w:r w:rsidR="009F6648" w:rsidRPr="002A2A1C">
        <w:t xml:space="preserve"> Developments Limited</w:t>
      </w:r>
      <w:r w:rsidR="009F6648" w:rsidRPr="002A2A1C">
        <w:rPr>
          <w:rFonts w:hint="eastAsia"/>
        </w:rPr>
        <w:t>公司</w:t>
      </w:r>
      <w:r w:rsidR="005C0B4A" w:rsidRPr="002A2A1C">
        <w:rPr>
          <w:rFonts w:hint="eastAsia"/>
        </w:rPr>
        <w:t>（</w:t>
      </w:r>
      <w:r w:rsidR="005C0B4A" w:rsidRPr="002A2A1C">
        <w:t>以下简称</w:t>
      </w:r>
      <w:r w:rsidR="005C0B4A" w:rsidRPr="002A2A1C">
        <w:rPr>
          <w:rFonts w:hint="eastAsia"/>
        </w:rPr>
        <w:t>M</w:t>
      </w:r>
      <w:r w:rsidR="005C0B4A" w:rsidRPr="002A2A1C">
        <w:t>DL</w:t>
      </w:r>
      <w:r w:rsidR="005C0B4A" w:rsidRPr="002A2A1C">
        <w:t>公司</w:t>
      </w:r>
      <w:r w:rsidR="005C0B4A" w:rsidRPr="002A2A1C">
        <w:rPr>
          <w:rFonts w:hint="eastAsia"/>
        </w:rPr>
        <w:t>）</w:t>
      </w:r>
      <w:r w:rsidR="009F6648" w:rsidRPr="002A2A1C">
        <w:rPr>
          <w:rFonts w:hint="eastAsia"/>
        </w:rPr>
        <w:t>的控股公司新创建集团</w:t>
      </w:r>
      <w:r w:rsidR="00C05363">
        <w:rPr>
          <w:rStyle w:val="a8"/>
          <w:rFonts w:cs="Times New Roman"/>
          <w:color w:val="000000"/>
          <w:kern w:val="0"/>
          <w:szCs w:val="24"/>
        </w:rPr>
        <w:footnoteReference w:id="1"/>
      </w:r>
      <w:r w:rsidR="009A79A3" w:rsidRPr="002A2A1C">
        <w:rPr>
          <w:rFonts w:hint="eastAsia"/>
        </w:rPr>
        <w:t>的</w:t>
      </w:r>
      <w:r w:rsidR="00830143" w:rsidRPr="002A2A1C">
        <w:rPr>
          <w:rFonts w:hint="eastAsia"/>
        </w:rPr>
        <w:t>公司</w:t>
      </w:r>
      <w:r w:rsidR="009F6648" w:rsidRPr="002A2A1C">
        <w:rPr>
          <w:rFonts w:hint="eastAsia"/>
        </w:rPr>
        <w:t>公告</w:t>
      </w:r>
      <w:r w:rsidR="00C05363">
        <w:rPr>
          <w:rStyle w:val="a8"/>
          <w:rFonts w:cs="Times New Roman"/>
          <w:color w:val="000000"/>
          <w:kern w:val="0"/>
          <w:szCs w:val="24"/>
        </w:rPr>
        <w:footnoteReference w:id="2"/>
      </w:r>
      <w:r w:rsidR="00FB1855" w:rsidRPr="002A2A1C">
        <w:rPr>
          <w:rFonts w:hint="eastAsia"/>
        </w:rPr>
        <w:t>找到了</w:t>
      </w:r>
      <w:r w:rsidRPr="002A2A1C">
        <w:rPr>
          <w:rFonts w:hint="eastAsia"/>
        </w:rPr>
        <w:t>涉及该项</w:t>
      </w:r>
      <w:r w:rsidR="00FB1855" w:rsidRPr="002A2A1C">
        <w:rPr>
          <w:rFonts w:hint="eastAsia"/>
        </w:rPr>
        <w:t>股权转让</w:t>
      </w:r>
      <w:r w:rsidRPr="002A2A1C">
        <w:rPr>
          <w:rFonts w:hint="eastAsia"/>
        </w:rPr>
        <w:t>的</w:t>
      </w:r>
      <w:r w:rsidR="009A79A3" w:rsidRPr="002A2A1C">
        <w:rPr>
          <w:rFonts w:hint="eastAsia"/>
        </w:rPr>
        <w:t>公司</w:t>
      </w:r>
      <w:r w:rsidRPr="002A2A1C">
        <w:rPr>
          <w:rFonts w:hint="eastAsia"/>
        </w:rPr>
        <w:t>资料</w:t>
      </w:r>
      <w:r w:rsidR="0094032D">
        <w:rPr>
          <w:rFonts w:hint="eastAsia"/>
        </w:rPr>
        <w:t>如下图</w:t>
      </w:r>
      <w:r w:rsidR="005E0CEE">
        <w:t>1</w:t>
      </w:r>
      <w:r w:rsidR="00965646">
        <w:rPr>
          <w:rFonts w:hint="eastAsia"/>
        </w:rPr>
        <w:t>-</w:t>
      </w:r>
      <w:r w:rsidR="0094032D">
        <w:rPr>
          <w:rFonts w:hint="eastAsia"/>
        </w:rPr>
        <w:t>1</w:t>
      </w:r>
      <w:r w:rsidR="00FB1855" w:rsidRPr="002A2A1C">
        <w:rPr>
          <w:rFonts w:hint="eastAsia"/>
        </w:rPr>
        <w:t>：</w:t>
      </w:r>
    </w:p>
    <w:p w:rsidR="005C0B4A" w:rsidRPr="002A2A1C" w:rsidRDefault="008C6322" w:rsidP="00925894">
      <w:pPr>
        <w:ind w:firstLine="480"/>
      </w:pPr>
      <w:r w:rsidRPr="002A2A1C">
        <w:t>1997</w:t>
      </w:r>
      <w:r w:rsidRPr="002A2A1C">
        <w:rPr>
          <w:rFonts w:hint="eastAsia"/>
        </w:rPr>
        <w:t>年</w:t>
      </w:r>
      <w:r w:rsidRPr="002A2A1C">
        <w:rPr>
          <w:rFonts w:hint="eastAsia"/>
        </w:rPr>
        <w:t>12</w:t>
      </w:r>
      <w:r w:rsidRPr="002A2A1C">
        <w:rPr>
          <w:rFonts w:hint="eastAsia"/>
        </w:rPr>
        <w:t>月</w:t>
      </w:r>
      <w:r w:rsidRPr="002A2A1C">
        <w:rPr>
          <w:rFonts w:hint="eastAsia"/>
        </w:rPr>
        <w:t>5</w:t>
      </w:r>
      <w:r w:rsidRPr="002A2A1C">
        <w:rPr>
          <w:rFonts w:hint="eastAsia"/>
        </w:rPr>
        <w:t>日</w:t>
      </w:r>
      <w:r w:rsidR="000C66BB">
        <w:t>，</w:t>
      </w:r>
      <w:r w:rsidRPr="002A2A1C">
        <w:t>香港国汇有限公司（以下简称香港国汇</w:t>
      </w:r>
      <w:r w:rsidRPr="002A2A1C">
        <w:rPr>
          <w:rFonts w:hint="eastAsia"/>
        </w:rPr>
        <w:t>公司</w:t>
      </w:r>
      <w:r w:rsidRPr="002A2A1C">
        <w:t>）在香港地区注册成立。</w:t>
      </w:r>
    </w:p>
    <w:p w:rsidR="005C0B4A" w:rsidRPr="002A2A1C" w:rsidRDefault="008C6322" w:rsidP="00925894">
      <w:pPr>
        <w:ind w:firstLine="480"/>
      </w:pPr>
      <w:r w:rsidRPr="002A2A1C">
        <w:t>2003</w:t>
      </w:r>
      <w:r w:rsidRPr="002A2A1C">
        <w:t>年</w:t>
      </w:r>
      <w:r w:rsidRPr="002A2A1C">
        <w:t>11</w:t>
      </w:r>
      <w:r w:rsidRPr="002A2A1C">
        <w:t>月</w:t>
      </w:r>
      <w:r w:rsidRPr="002A2A1C">
        <w:t>4</w:t>
      </w:r>
      <w:r w:rsidRPr="002A2A1C">
        <w:t>日</w:t>
      </w:r>
      <w:r w:rsidR="000C66BB">
        <w:t>，</w:t>
      </w:r>
      <w:r w:rsidRPr="002A2A1C">
        <w:rPr>
          <w:rFonts w:hint="eastAsia"/>
        </w:rPr>
        <w:t>儿童投资主基金</w:t>
      </w:r>
      <w:r w:rsidR="00362D9D" w:rsidRPr="002A2A1C">
        <w:rPr>
          <w:rFonts w:hint="eastAsia"/>
        </w:rPr>
        <w:t>（</w:t>
      </w:r>
      <w:r w:rsidR="00362D9D" w:rsidRPr="002A2A1C">
        <w:t>以下简称</w:t>
      </w:r>
      <w:r w:rsidR="00362D9D" w:rsidRPr="002A2A1C">
        <w:rPr>
          <w:rFonts w:hint="eastAsia"/>
        </w:rPr>
        <w:t>T</w:t>
      </w:r>
      <w:r w:rsidR="00362D9D" w:rsidRPr="002A2A1C">
        <w:t>CI</w:t>
      </w:r>
      <w:r w:rsidR="00362D9D" w:rsidRPr="002A2A1C">
        <w:rPr>
          <w:rFonts w:hint="eastAsia"/>
        </w:rPr>
        <w:t>公司）</w:t>
      </w:r>
      <w:r w:rsidRPr="002A2A1C">
        <w:t>在开曼群岛注册成立。</w:t>
      </w:r>
    </w:p>
    <w:p w:rsidR="005C0B4A" w:rsidRPr="002A2A1C" w:rsidRDefault="008C6322" w:rsidP="00925894">
      <w:pPr>
        <w:ind w:firstLine="480"/>
      </w:pPr>
      <w:r w:rsidRPr="002A2A1C">
        <w:t>2004</w:t>
      </w:r>
      <w:r w:rsidRPr="002A2A1C">
        <w:t>年</w:t>
      </w:r>
      <w:r w:rsidRPr="002A2A1C">
        <w:t>3</w:t>
      </w:r>
      <w:r w:rsidRPr="002A2A1C">
        <w:t>月</w:t>
      </w:r>
      <w:r w:rsidRPr="002A2A1C">
        <w:t>31</w:t>
      </w:r>
      <w:r w:rsidRPr="002A2A1C">
        <w:t>日</w:t>
      </w:r>
      <w:r w:rsidR="000C66BB">
        <w:t>，</w:t>
      </w:r>
      <w:r w:rsidRPr="002A2A1C">
        <w:t>香港国汇公司与中国浙江国叶实业发展有限公司签订合同设立杭州国益路桥经营管理公司（以下简称杭州国益路桥公司）</w:t>
      </w:r>
      <w:r w:rsidR="000C66BB">
        <w:t>，</w:t>
      </w:r>
      <w:r w:rsidRPr="002A2A1C">
        <w:t>香港国汇公司占杭州国益路桥公司</w:t>
      </w:r>
      <w:r w:rsidRPr="002A2A1C">
        <w:t>95%</w:t>
      </w:r>
      <w:r w:rsidRPr="002A2A1C">
        <w:t>的股份</w:t>
      </w:r>
      <w:r w:rsidR="000C66BB">
        <w:rPr>
          <w:rFonts w:hint="eastAsia"/>
        </w:rPr>
        <w:t>，</w:t>
      </w:r>
      <w:r w:rsidR="00F22380" w:rsidRPr="002A2A1C">
        <w:rPr>
          <w:rFonts w:hint="eastAsia"/>
        </w:rPr>
        <w:t>杭州国益路桥公司成立后</w:t>
      </w:r>
      <w:r w:rsidR="000C66BB">
        <w:rPr>
          <w:rFonts w:hint="eastAsia"/>
        </w:rPr>
        <w:t>，</w:t>
      </w:r>
      <w:r w:rsidR="00F22380" w:rsidRPr="002A2A1C">
        <w:rPr>
          <w:rFonts w:hint="eastAsia"/>
        </w:rPr>
        <w:t>于</w:t>
      </w:r>
      <w:r w:rsidR="00F22380" w:rsidRPr="002A2A1C">
        <w:t>2005</w:t>
      </w:r>
      <w:r w:rsidR="00F22380" w:rsidRPr="002A2A1C">
        <w:t>年</w:t>
      </w:r>
      <w:r w:rsidR="00F22380" w:rsidRPr="002A2A1C">
        <w:t>10</w:t>
      </w:r>
      <w:r w:rsidR="00FC7F2E" w:rsidRPr="002A2A1C">
        <w:t>月</w:t>
      </w:r>
      <w:r w:rsidR="00FC7F2E" w:rsidRPr="002A2A1C">
        <w:rPr>
          <w:rFonts w:hint="eastAsia"/>
        </w:rPr>
        <w:t>获得</w:t>
      </w:r>
      <w:r w:rsidR="00FC7F2E" w:rsidRPr="002A2A1C">
        <w:t>批</w:t>
      </w:r>
      <w:r w:rsidR="00FC7F2E" w:rsidRPr="002A2A1C">
        <w:rPr>
          <w:rFonts w:hint="eastAsia"/>
        </w:rPr>
        <w:t>准</w:t>
      </w:r>
      <w:r w:rsidR="000C66BB">
        <w:rPr>
          <w:rFonts w:hint="eastAsia"/>
        </w:rPr>
        <w:t>，</w:t>
      </w:r>
      <w:r w:rsidR="00F22380" w:rsidRPr="002A2A1C">
        <w:t>受让杭州绕城高速公路收费经营权</w:t>
      </w:r>
      <w:r w:rsidRPr="002A2A1C">
        <w:t>。</w:t>
      </w:r>
    </w:p>
    <w:p w:rsidR="005C0B4A" w:rsidRPr="002A2A1C" w:rsidRDefault="008C6322" w:rsidP="00925894">
      <w:pPr>
        <w:ind w:firstLine="480"/>
      </w:pPr>
      <w:r w:rsidRPr="002A2A1C">
        <w:t>2005</w:t>
      </w:r>
      <w:r w:rsidRPr="002A2A1C">
        <w:t>年</w:t>
      </w:r>
      <w:r w:rsidRPr="002A2A1C">
        <w:t>10</w:t>
      </w:r>
      <w:r w:rsidRPr="002A2A1C">
        <w:t>月</w:t>
      </w:r>
      <w:r w:rsidRPr="002A2A1C">
        <w:t>12</w:t>
      </w:r>
      <w:r w:rsidRPr="002A2A1C">
        <w:t>日</w:t>
      </w:r>
      <w:r w:rsidR="000C66BB">
        <w:t>，</w:t>
      </w:r>
      <w:r w:rsidRPr="002A2A1C">
        <w:t>Chinese Future Corporation</w:t>
      </w:r>
      <w:r w:rsidRPr="002A2A1C">
        <w:t>（以下简称</w:t>
      </w:r>
      <w:r w:rsidRPr="002A2A1C">
        <w:t>CFC</w:t>
      </w:r>
      <w:r w:rsidRPr="002A2A1C">
        <w:t>公司）在开曼群岛注册成立。</w:t>
      </w:r>
      <w:r w:rsidRPr="002A2A1C">
        <w:t>CFC</w:t>
      </w:r>
      <w:r w:rsidRPr="002A2A1C">
        <w:t>公司持有香港国汇公司</w:t>
      </w:r>
      <w:r w:rsidRPr="002A2A1C">
        <w:t>100%</w:t>
      </w:r>
      <w:r w:rsidRPr="002A2A1C">
        <w:t>股权。</w:t>
      </w:r>
    </w:p>
    <w:p w:rsidR="00362D9D" w:rsidRPr="002A2A1C" w:rsidRDefault="008C6322" w:rsidP="00925894">
      <w:pPr>
        <w:ind w:firstLine="480"/>
      </w:pPr>
      <w:r w:rsidRPr="002A2A1C">
        <w:t>2005</w:t>
      </w:r>
      <w:r w:rsidRPr="002A2A1C">
        <w:t>年</w:t>
      </w:r>
      <w:r w:rsidRPr="002A2A1C">
        <w:t>11</w:t>
      </w:r>
      <w:r w:rsidRPr="002A2A1C">
        <w:t>月</w:t>
      </w:r>
      <w:r w:rsidRPr="002A2A1C">
        <w:t>10</w:t>
      </w:r>
      <w:r w:rsidRPr="002A2A1C">
        <w:t>日</w:t>
      </w:r>
      <w:r w:rsidR="000C66BB">
        <w:t>，</w:t>
      </w:r>
      <w:r w:rsidRPr="002A2A1C">
        <w:rPr>
          <w:rFonts w:hint="eastAsia"/>
        </w:rPr>
        <w:t>儿童投资主基</w:t>
      </w:r>
      <w:proofErr w:type="gramStart"/>
      <w:r w:rsidRPr="002A2A1C">
        <w:rPr>
          <w:rFonts w:hint="eastAsia"/>
        </w:rPr>
        <w:t>金</w:t>
      </w:r>
      <w:r w:rsidRPr="002A2A1C">
        <w:t>通过</w:t>
      </w:r>
      <w:proofErr w:type="gramEnd"/>
      <w:r w:rsidRPr="002A2A1C">
        <w:t>股权转让和认购新股的方式</w:t>
      </w:r>
      <w:r w:rsidRPr="002A2A1C">
        <w:rPr>
          <w:rFonts w:hint="eastAsia"/>
        </w:rPr>
        <w:t>取得了</w:t>
      </w:r>
      <w:r w:rsidRPr="002A2A1C">
        <w:t>CFC</w:t>
      </w:r>
      <w:r w:rsidRPr="002A2A1C">
        <w:t>公司</w:t>
      </w:r>
      <w:r w:rsidRPr="002A2A1C">
        <w:t>26.32%</w:t>
      </w:r>
      <w:r w:rsidRPr="002A2A1C">
        <w:t>的股权。</w:t>
      </w:r>
    </w:p>
    <w:p w:rsidR="0094032D" w:rsidRPr="00E805BC" w:rsidRDefault="005C0B4A" w:rsidP="00E805BC">
      <w:pPr>
        <w:ind w:firstLine="480"/>
      </w:pPr>
      <w:r w:rsidRPr="002A2A1C">
        <w:t>2011</w:t>
      </w:r>
      <w:r w:rsidRPr="002A2A1C">
        <w:rPr>
          <w:rFonts w:hint="eastAsia"/>
        </w:rPr>
        <w:t>年</w:t>
      </w:r>
      <w:r w:rsidRPr="002A2A1C">
        <w:rPr>
          <w:rFonts w:hint="eastAsia"/>
        </w:rPr>
        <w:t>9</w:t>
      </w:r>
      <w:r w:rsidRPr="002A2A1C">
        <w:rPr>
          <w:rFonts w:hint="eastAsia"/>
        </w:rPr>
        <w:t>月</w:t>
      </w:r>
      <w:r w:rsidRPr="002A2A1C">
        <w:rPr>
          <w:rFonts w:hint="eastAsia"/>
        </w:rPr>
        <w:t>9</w:t>
      </w:r>
      <w:r w:rsidRPr="002A2A1C">
        <w:rPr>
          <w:rFonts w:hint="eastAsia"/>
        </w:rPr>
        <w:t>日</w:t>
      </w:r>
      <w:r w:rsidR="000C66BB">
        <w:rPr>
          <w:rFonts w:hint="eastAsia"/>
        </w:rPr>
        <w:t>，</w:t>
      </w:r>
      <w:r w:rsidR="00362D9D" w:rsidRPr="002A2A1C">
        <w:rPr>
          <w:rFonts w:hint="eastAsia"/>
        </w:rPr>
        <w:t>TCI</w:t>
      </w:r>
      <w:r w:rsidR="00362D9D" w:rsidRPr="002A2A1C">
        <w:rPr>
          <w:rFonts w:hint="eastAsia"/>
        </w:rPr>
        <w:t>公司</w:t>
      </w:r>
      <w:r w:rsidR="00362D9D" w:rsidRPr="002A2A1C">
        <w:t>将其持有的</w:t>
      </w:r>
      <w:r w:rsidR="00362D9D" w:rsidRPr="002A2A1C">
        <w:t>CFC</w:t>
      </w:r>
      <w:r w:rsidR="00362D9D" w:rsidRPr="002A2A1C">
        <w:rPr>
          <w:rFonts w:hint="eastAsia"/>
        </w:rPr>
        <w:t>公司</w:t>
      </w:r>
      <w:r w:rsidR="00362D9D" w:rsidRPr="002A2A1C">
        <w:rPr>
          <w:rFonts w:hint="eastAsia"/>
        </w:rPr>
        <w:t>2</w:t>
      </w:r>
      <w:r w:rsidR="00362D9D" w:rsidRPr="002A2A1C">
        <w:t>6.32%</w:t>
      </w:r>
      <w:r w:rsidR="00362D9D" w:rsidRPr="002A2A1C">
        <w:rPr>
          <w:rFonts w:hint="eastAsia"/>
        </w:rPr>
        <w:t>的</w:t>
      </w:r>
      <w:r w:rsidR="00362D9D" w:rsidRPr="002A2A1C">
        <w:t>股权转让给新创建集团有限公司的附属公司</w:t>
      </w:r>
      <w:r w:rsidRPr="002A2A1C">
        <w:t>MDL</w:t>
      </w:r>
      <w:r w:rsidRPr="002A2A1C">
        <w:rPr>
          <w:rFonts w:hint="eastAsia"/>
        </w:rPr>
        <w:t>公司；此时</w:t>
      </w:r>
      <w:r w:rsidR="000C66BB">
        <w:rPr>
          <w:rFonts w:hint="eastAsia"/>
        </w:rPr>
        <w:t>，</w:t>
      </w:r>
      <w:proofErr w:type="spellStart"/>
      <w:r w:rsidR="00F22380" w:rsidRPr="002A2A1C">
        <w:t>Widefaith</w:t>
      </w:r>
      <w:proofErr w:type="spellEnd"/>
      <w:r w:rsidR="00362D9D" w:rsidRPr="002A2A1C">
        <w:t xml:space="preserve"> </w:t>
      </w:r>
      <w:r w:rsidR="00F22380" w:rsidRPr="002A2A1C">
        <w:t>Group</w:t>
      </w:r>
      <w:r w:rsidR="00362D9D" w:rsidRPr="002A2A1C">
        <w:t xml:space="preserve"> </w:t>
      </w:r>
      <w:r w:rsidR="00F22380" w:rsidRPr="002A2A1C">
        <w:t>Limited</w:t>
      </w:r>
      <w:r w:rsidRPr="002A2A1C">
        <w:t>公司</w:t>
      </w:r>
      <w:r w:rsidRPr="002A2A1C">
        <w:rPr>
          <w:rFonts w:hint="eastAsia"/>
        </w:rPr>
        <w:t>也已</w:t>
      </w:r>
      <w:r w:rsidR="00F22380" w:rsidRPr="002A2A1C">
        <w:t>将其持有的</w:t>
      </w:r>
      <w:r w:rsidR="00F22380" w:rsidRPr="002A2A1C">
        <w:t>CFC</w:t>
      </w:r>
      <w:r w:rsidRPr="002A2A1C">
        <w:rPr>
          <w:rFonts w:hint="eastAsia"/>
        </w:rPr>
        <w:t>公司中</w:t>
      </w:r>
      <w:r w:rsidRPr="002A2A1C">
        <w:t>22.68%</w:t>
      </w:r>
      <w:r w:rsidRPr="002A2A1C">
        <w:rPr>
          <w:rFonts w:hint="eastAsia"/>
        </w:rPr>
        <w:t>的</w:t>
      </w:r>
      <w:r w:rsidRPr="002A2A1C">
        <w:t>股权</w:t>
      </w:r>
      <w:r w:rsidR="00F22380" w:rsidRPr="002A2A1C">
        <w:t>转让给</w:t>
      </w:r>
      <w:r w:rsidRPr="002A2A1C">
        <w:t>MDL</w:t>
      </w:r>
      <w:r w:rsidR="00F22380" w:rsidRPr="002A2A1C">
        <w:t>公司</w:t>
      </w:r>
      <w:r w:rsidR="000C66BB">
        <w:t>，</w:t>
      </w:r>
      <w:r w:rsidR="00F22380" w:rsidRPr="002A2A1C">
        <w:t>另</w:t>
      </w:r>
      <w:r w:rsidR="00362D9D" w:rsidRPr="002A2A1C">
        <w:rPr>
          <w:rFonts w:hint="eastAsia"/>
        </w:rPr>
        <w:t>外</w:t>
      </w:r>
      <w:r w:rsidR="00F22380" w:rsidRPr="002A2A1C">
        <w:t>51%</w:t>
      </w:r>
      <w:r w:rsidR="00F22380" w:rsidRPr="002A2A1C">
        <w:t>的股权</w:t>
      </w:r>
      <w:r w:rsidR="000C66BB">
        <w:t>，</w:t>
      </w:r>
      <w:r w:rsidR="00F22380" w:rsidRPr="002A2A1C">
        <w:t>由</w:t>
      </w:r>
      <w:proofErr w:type="spellStart"/>
      <w:r w:rsidR="00F22380" w:rsidRPr="002A2A1C">
        <w:t>Kaiming</w:t>
      </w:r>
      <w:proofErr w:type="spellEnd"/>
      <w:r w:rsidR="00362D9D" w:rsidRPr="002A2A1C">
        <w:t xml:space="preserve"> </w:t>
      </w:r>
      <w:r w:rsidR="00F22380" w:rsidRPr="002A2A1C">
        <w:t>Holdings</w:t>
      </w:r>
      <w:r w:rsidR="00362D9D" w:rsidRPr="002A2A1C">
        <w:t xml:space="preserve"> </w:t>
      </w:r>
      <w:r w:rsidR="00F22380" w:rsidRPr="002A2A1C">
        <w:t>Limited</w:t>
      </w:r>
      <w:r w:rsidR="005D51B2" w:rsidRPr="002A2A1C">
        <w:rPr>
          <w:rFonts w:hint="eastAsia"/>
        </w:rPr>
        <w:t>在之后</w:t>
      </w:r>
      <w:r w:rsidR="00F22380" w:rsidRPr="002A2A1C">
        <w:t>通过转让</w:t>
      </w:r>
      <w:proofErr w:type="spellStart"/>
      <w:r w:rsidR="00F22380" w:rsidRPr="002A2A1C">
        <w:t>Widefaith</w:t>
      </w:r>
      <w:proofErr w:type="spellEnd"/>
      <w:r w:rsidR="00362D9D" w:rsidRPr="002A2A1C">
        <w:t xml:space="preserve"> </w:t>
      </w:r>
      <w:r w:rsidR="00F22380" w:rsidRPr="002A2A1C">
        <w:t>Group</w:t>
      </w:r>
      <w:r w:rsidR="00362D9D" w:rsidRPr="002A2A1C">
        <w:t xml:space="preserve"> </w:t>
      </w:r>
      <w:r w:rsidR="00F22380" w:rsidRPr="002A2A1C">
        <w:t>Limited</w:t>
      </w:r>
      <w:r w:rsidR="00F22380" w:rsidRPr="002A2A1C">
        <w:t>公司</w:t>
      </w:r>
      <w:r w:rsidR="00F22380" w:rsidRPr="002A2A1C">
        <w:t>100%</w:t>
      </w:r>
      <w:r w:rsidR="00F22380" w:rsidRPr="002A2A1C">
        <w:t>股权的方式间接转让给</w:t>
      </w:r>
      <w:r w:rsidR="00362D9D" w:rsidRPr="002A2A1C">
        <w:t>MDL</w:t>
      </w:r>
      <w:r w:rsidR="00F22380" w:rsidRPr="002A2A1C">
        <w:t>公司。</w:t>
      </w:r>
    </w:p>
    <w:p w:rsidR="00A80D3A" w:rsidRDefault="00A80D3A" w:rsidP="00925894">
      <w:pPr>
        <w:spacing w:line="240" w:lineRule="auto"/>
        <w:ind w:firstLine="480"/>
        <w:rPr>
          <w:rFonts w:asciiTheme="minorEastAsia" w:hAnsiTheme="minorEastAsia"/>
          <w:bCs/>
          <w:szCs w:val="21"/>
        </w:rPr>
      </w:pPr>
      <w:r>
        <w:rPr>
          <w:rFonts w:asciiTheme="minorEastAsia" w:hAnsiTheme="minorEastAsia"/>
          <w:bCs/>
          <w:noProof/>
          <w:szCs w:val="21"/>
        </w:rPr>
        <w:lastRenderedPageBreak/>
        <w:drawing>
          <wp:inline distT="0" distB="0" distL="0" distR="0" wp14:anchorId="668A5143" wp14:editId="635C7092">
            <wp:extent cx="5148269" cy="2895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9997" cy="2913445"/>
                    </a:xfrm>
                    <a:prstGeom prst="rect">
                      <a:avLst/>
                    </a:prstGeom>
                    <a:noFill/>
                  </pic:spPr>
                </pic:pic>
              </a:graphicData>
            </a:graphic>
          </wp:inline>
        </w:drawing>
      </w:r>
    </w:p>
    <w:p w:rsidR="0094032D" w:rsidRPr="00E805BC" w:rsidRDefault="0094032D" w:rsidP="00925894">
      <w:pPr>
        <w:ind w:firstLine="420"/>
        <w:jc w:val="center"/>
        <w:rPr>
          <w:sz w:val="21"/>
          <w:szCs w:val="21"/>
        </w:rPr>
      </w:pPr>
      <w:r w:rsidRPr="00E805BC">
        <w:rPr>
          <w:rFonts w:hint="eastAsia"/>
          <w:sz w:val="21"/>
          <w:szCs w:val="21"/>
        </w:rPr>
        <w:t>图</w:t>
      </w:r>
      <w:r w:rsidR="005E0CEE" w:rsidRPr="00E805BC">
        <w:rPr>
          <w:sz w:val="21"/>
          <w:szCs w:val="21"/>
        </w:rPr>
        <w:t>1</w:t>
      </w:r>
      <w:r w:rsidR="00965646" w:rsidRPr="00E805BC">
        <w:rPr>
          <w:rFonts w:hint="eastAsia"/>
          <w:sz w:val="21"/>
          <w:szCs w:val="21"/>
        </w:rPr>
        <w:t>-</w:t>
      </w:r>
      <w:r w:rsidRPr="00E805BC">
        <w:rPr>
          <w:rFonts w:hint="eastAsia"/>
          <w:sz w:val="21"/>
          <w:szCs w:val="21"/>
        </w:rPr>
        <w:t>1</w:t>
      </w:r>
      <w:r w:rsidRPr="00E805BC">
        <w:rPr>
          <w:rFonts w:hint="eastAsia"/>
          <w:sz w:val="21"/>
          <w:szCs w:val="21"/>
        </w:rPr>
        <w:t>：案件所涉公司情况</w:t>
      </w:r>
    </w:p>
    <w:p w:rsidR="0094032D" w:rsidRPr="0094032D" w:rsidRDefault="0094032D" w:rsidP="00925894">
      <w:pPr>
        <w:ind w:firstLine="480"/>
        <w:rPr>
          <w:szCs w:val="21"/>
        </w:rPr>
      </w:pPr>
    </w:p>
    <w:p w:rsidR="00FB1855" w:rsidRPr="002A2A1C" w:rsidRDefault="00362D9D" w:rsidP="00E805BC">
      <w:pPr>
        <w:ind w:firstLine="480"/>
      </w:pPr>
      <w:r w:rsidRPr="002A2A1C">
        <w:rPr>
          <w:rFonts w:hint="eastAsia"/>
        </w:rPr>
        <w:t>因此</w:t>
      </w:r>
      <w:r w:rsidR="000C66BB">
        <w:rPr>
          <w:rFonts w:hint="eastAsia"/>
        </w:rPr>
        <w:t>，</w:t>
      </w:r>
      <w:r w:rsidRPr="002A2A1C">
        <w:rPr>
          <w:rFonts w:hint="eastAsia"/>
        </w:rPr>
        <w:t>M</w:t>
      </w:r>
      <w:r w:rsidRPr="002A2A1C">
        <w:t>DL</w:t>
      </w:r>
      <w:r w:rsidRPr="002A2A1C">
        <w:rPr>
          <w:rFonts w:hint="eastAsia"/>
        </w:rPr>
        <w:t>公司与</w:t>
      </w:r>
      <w:r w:rsidRPr="002A2A1C">
        <w:rPr>
          <w:rFonts w:hint="eastAsia"/>
        </w:rPr>
        <w:t>CFC</w:t>
      </w:r>
      <w:r w:rsidRPr="002A2A1C">
        <w:rPr>
          <w:rFonts w:hint="eastAsia"/>
        </w:rPr>
        <w:t>公司</w:t>
      </w:r>
      <w:r w:rsidRPr="002A2A1C">
        <w:rPr>
          <w:rFonts w:hint="eastAsia"/>
        </w:rPr>
        <w:t>3</w:t>
      </w:r>
      <w:r w:rsidRPr="002A2A1C">
        <w:rPr>
          <w:rFonts w:hint="eastAsia"/>
        </w:rPr>
        <w:t>个原股东经历四个阶段的股权收购后</w:t>
      </w:r>
      <w:r w:rsidR="000C66BB">
        <w:rPr>
          <w:rFonts w:hint="eastAsia"/>
        </w:rPr>
        <w:t>，</w:t>
      </w:r>
      <w:r w:rsidRPr="002A2A1C">
        <w:rPr>
          <w:rFonts w:hint="eastAsia"/>
        </w:rPr>
        <w:t>成为了本案件所涉及到的中间层</w:t>
      </w:r>
      <w:r w:rsidRPr="002A2A1C">
        <w:rPr>
          <w:rFonts w:hint="eastAsia"/>
        </w:rPr>
        <w:t>CFC</w:t>
      </w:r>
      <w:r w:rsidRPr="002A2A1C">
        <w:rPr>
          <w:rFonts w:hint="eastAsia"/>
        </w:rPr>
        <w:t>公司的全资控股股东</w:t>
      </w:r>
      <w:r w:rsidR="000C66BB">
        <w:rPr>
          <w:rFonts w:hint="eastAsia"/>
        </w:rPr>
        <w:t>，</w:t>
      </w:r>
      <w:r w:rsidRPr="002A2A1C">
        <w:rPr>
          <w:rFonts w:hint="eastAsia"/>
        </w:rPr>
        <w:t>同时间接持有</w:t>
      </w:r>
      <w:r w:rsidRPr="002A2A1C">
        <w:t>杭州国益路桥公司</w:t>
      </w:r>
      <w:r w:rsidRPr="002A2A1C">
        <w:rPr>
          <w:rFonts w:hint="eastAsia"/>
        </w:rPr>
        <w:t>95%</w:t>
      </w:r>
      <w:r w:rsidRPr="002A2A1C">
        <w:rPr>
          <w:rFonts w:hint="eastAsia"/>
        </w:rPr>
        <w:t>的股权。</w:t>
      </w:r>
    </w:p>
    <w:p w:rsidR="0050582D" w:rsidRPr="002A2A1C" w:rsidRDefault="0050582D" w:rsidP="00E805BC">
      <w:pPr>
        <w:ind w:firstLine="480"/>
      </w:pPr>
      <w:r w:rsidRPr="002A2A1C">
        <w:rPr>
          <w:rFonts w:hint="eastAsia"/>
        </w:rPr>
        <w:t>税务人员了解了整体的转让情况、收购的目的和价值的估量后</w:t>
      </w:r>
      <w:r w:rsidR="000C66BB">
        <w:rPr>
          <w:rFonts w:hint="eastAsia"/>
        </w:rPr>
        <w:t>，</w:t>
      </w:r>
      <w:r w:rsidRPr="002A2A1C">
        <w:rPr>
          <w:rFonts w:hint="eastAsia"/>
        </w:rPr>
        <w:t>顿觉案情豁然开朗</w:t>
      </w:r>
      <w:r w:rsidR="000C66BB">
        <w:rPr>
          <w:rFonts w:hint="eastAsia"/>
        </w:rPr>
        <w:t>，</w:t>
      </w:r>
      <w:r w:rsidRPr="002A2A1C">
        <w:rPr>
          <w:rFonts w:hint="eastAsia"/>
        </w:rPr>
        <w:t>对“穿透”有了较大的把握</w:t>
      </w:r>
      <w:r w:rsidR="000C66BB">
        <w:rPr>
          <w:rFonts w:hint="eastAsia"/>
        </w:rPr>
        <w:t>，</w:t>
      </w:r>
      <w:r w:rsidRPr="002A2A1C">
        <w:rPr>
          <w:rFonts w:hint="eastAsia"/>
        </w:rPr>
        <w:t>但是谁也没想到</w:t>
      </w:r>
      <w:r w:rsidR="000C66BB">
        <w:rPr>
          <w:rFonts w:hint="eastAsia"/>
        </w:rPr>
        <w:t>，</w:t>
      </w:r>
      <w:r w:rsidRPr="002A2A1C">
        <w:rPr>
          <w:rFonts w:hint="eastAsia"/>
        </w:rPr>
        <w:t>整个案件拉锯了</w:t>
      </w:r>
      <w:r w:rsidRPr="002A2A1C">
        <w:t>6</w:t>
      </w:r>
      <w:r w:rsidRPr="002A2A1C">
        <w:t>年。</w:t>
      </w:r>
    </w:p>
    <w:p w:rsidR="000B02C4" w:rsidRDefault="000B02C4" w:rsidP="00E805BC">
      <w:pPr>
        <w:ind w:firstLine="480"/>
      </w:pPr>
      <w:bookmarkStart w:id="4" w:name="_Hlk492391953"/>
      <w:r w:rsidRPr="002A2A1C">
        <w:rPr>
          <w:rFonts w:hint="eastAsia"/>
        </w:rPr>
        <w:t>2</w:t>
      </w:r>
      <w:r w:rsidRPr="002A2A1C">
        <w:t>017</w:t>
      </w:r>
      <w:r w:rsidRPr="002A2A1C">
        <w:rPr>
          <w:rFonts w:hint="eastAsia"/>
        </w:rPr>
        <w:t>年</w:t>
      </w:r>
      <w:r w:rsidRPr="002A2A1C">
        <w:t>4</w:t>
      </w:r>
      <w:r w:rsidRPr="002A2A1C">
        <w:t>月</w:t>
      </w:r>
      <w:bookmarkEnd w:id="4"/>
      <w:r w:rsidR="000C66BB">
        <w:t>，</w:t>
      </w:r>
      <w:r w:rsidRPr="002A2A1C">
        <w:rPr>
          <w:rFonts w:hint="eastAsia"/>
        </w:rPr>
        <w:t>杭州市西湖区国税局收到了</w:t>
      </w:r>
      <w:r w:rsidRPr="002A2A1C">
        <w:t>扣缴义务人</w:t>
      </w:r>
      <w:r w:rsidR="0050582D" w:rsidRPr="002A2A1C">
        <w:t>MDL</w:t>
      </w:r>
      <w:r w:rsidRPr="002A2A1C">
        <w:t>公司缴纳</w:t>
      </w:r>
      <w:r w:rsidRPr="002A2A1C">
        <w:rPr>
          <w:rFonts w:hint="eastAsia"/>
        </w:rPr>
        <w:t>的</w:t>
      </w:r>
      <w:r w:rsidRPr="002A2A1C">
        <w:t>最后一笔税款</w:t>
      </w:r>
      <w:r w:rsidR="000C66BB">
        <w:rPr>
          <w:rFonts w:hint="eastAsia"/>
        </w:rPr>
        <w:t>，</w:t>
      </w:r>
      <w:r w:rsidRPr="002A2A1C">
        <w:t>儿童投资主基金等间接转让</w:t>
      </w:r>
      <w:proofErr w:type="gramStart"/>
      <w:r w:rsidRPr="002A2A1C">
        <w:rPr>
          <w:rFonts w:hint="eastAsia"/>
        </w:rPr>
        <w:t>杭州国</w:t>
      </w:r>
      <w:proofErr w:type="gramEnd"/>
      <w:r w:rsidRPr="002A2A1C">
        <w:rPr>
          <w:rFonts w:hint="eastAsia"/>
        </w:rPr>
        <w:t>益</w:t>
      </w:r>
      <w:r w:rsidRPr="002A2A1C">
        <w:t>公司股权案件</w:t>
      </w:r>
      <w:r w:rsidR="006B0E32">
        <w:rPr>
          <w:rFonts w:hint="eastAsia"/>
        </w:rPr>
        <w:t>才最终</w:t>
      </w:r>
      <w:r w:rsidRPr="002A2A1C">
        <w:t>尘埃落定。</w:t>
      </w:r>
    </w:p>
    <w:p w:rsidR="00054E1D" w:rsidRDefault="00054E1D" w:rsidP="00F50027">
      <w:pPr>
        <w:ind w:firstLine="480"/>
        <w:rPr>
          <w:rFonts w:cs="Times New Roman"/>
          <w:color w:val="000000"/>
          <w:kern w:val="0"/>
          <w:szCs w:val="24"/>
        </w:rPr>
        <w:sectPr w:rsidR="00054E1D" w:rsidSect="008800EB">
          <w:headerReference w:type="default" r:id="rId18"/>
          <w:pgSz w:w="11906" w:h="16838"/>
          <w:pgMar w:top="1440" w:right="1800" w:bottom="1440" w:left="1800" w:header="851" w:footer="992" w:gutter="0"/>
          <w:pgNumType w:start="1"/>
          <w:cols w:space="425"/>
          <w:docGrid w:type="lines" w:linePitch="312"/>
        </w:sectPr>
      </w:pPr>
    </w:p>
    <w:p w:rsidR="005227D1" w:rsidRPr="002A2A1C" w:rsidRDefault="005E0CEE" w:rsidP="00F50027">
      <w:pPr>
        <w:pStyle w:val="1"/>
        <w:ind w:firstLine="643"/>
      </w:pPr>
      <w:bookmarkStart w:id="5" w:name="_Toc492587009"/>
      <w:r>
        <w:lastRenderedPageBreak/>
        <w:t>2</w:t>
      </w:r>
      <w:r w:rsidR="005227D1" w:rsidRPr="002A2A1C">
        <w:t xml:space="preserve"> </w:t>
      </w:r>
      <w:r w:rsidR="005227D1" w:rsidRPr="002A2A1C">
        <w:rPr>
          <w:rFonts w:hint="eastAsia"/>
        </w:rPr>
        <w:t>事件过程</w:t>
      </w:r>
      <w:bookmarkEnd w:id="5"/>
    </w:p>
    <w:p w:rsidR="005227D1" w:rsidRPr="002A2A1C" w:rsidRDefault="00280055" w:rsidP="00E805BC">
      <w:pPr>
        <w:ind w:firstLine="480"/>
      </w:pPr>
      <w:r w:rsidRPr="002A2A1C">
        <w:t>2005</w:t>
      </w:r>
      <w:r w:rsidRPr="002A2A1C">
        <w:t>年</w:t>
      </w:r>
      <w:r w:rsidRPr="002A2A1C">
        <w:t>11</w:t>
      </w:r>
      <w:r w:rsidRPr="002A2A1C">
        <w:t>月</w:t>
      </w:r>
      <w:r w:rsidRPr="002A2A1C">
        <w:t>10</w:t>
      </w:r>
      <w:r w:rsidRPr="002A2A1C">
        <w:t>日</w:t>
      </w:r>
      <w:r w:rsidR="000C66BB">
        <w:rPr>
          <w:rFonts w:hint="eastAsia"/>
        </w:rPr>
        <w:t>，</w:t>
      </w:r>
      <w:r w:rsidR="005227D1" w:rsidRPr="002A2A1C">
        <w:t>TCI</w:t>
      </w:r>
      <w:r w:rsidR="00C8500E" w:rsidRPr="002A2A1C">
        <w:rPr>
          <w:rFonts w:hint="eastAsia"/>
        </w:rPr>
        <w:t>公司</w:t>
      </w:r>
      <w:r w:rsidR="005227D1" w:rsidRPr="002A2A1C">
        <w:t>通过股权转让和认购新股的方式取得了</w:t>
      </w:r>
      <w:r w:rsidR="005227D1" w:rsidRPr="002A2A1C">
        <w:t>CFC</w:t>
      </w:r>
      <w:r w:rsidR="005227D1" w:rsidRPr="002A2A1C">
        <w:t>公司</w:t>
      </w:r>
      <w:r w:rsidR="005227D1" w:rsidRPr="002A2A1C">
        <w:t>26.32%</w:t>
      </w:r>
      <w:r w:rsidR="00C8500E" w:rsidRPr="002A2A1C">
        <w:t>的股权</w:t>
      </w:r>
      <w:r w:rsidR="000C66BB">
        <w:rPr>
          <w:rFonts w:hint="eastAsia"/>
        </w:rPr>
        <w:t>，</w:t>
      </w:r>
      <w:r w:rsidR="00C8500E" w:rsidRPr="002A2A1C">
        <w:t>CFC</w:t>
      </w:r>
      <w:r w:rsidR="00C8500E" w:rsidRPr="002A2A1C">
        <w:t>公司</w:t>
      </w:r>
      <w:r w:rsidR="005227D1" w:rsidRPr="002A2A1C">
        <w:t>持有香港国汇公司</w:t>
      </w:r>
      <w:r w:rsidR="005227D1" w:rsidRPr="002A2A1C">
        <w:t>100%</w:t>
      </w:r>
      <w:r w:rsidR="005227D1" w:rsidRPr="002A2A1C">
        <w:t>股权</w:t>
      </w:r>
      <w:r w:rsidR="000C66BB">
        <w:t>，</w:t>
      </w:r>
      <w:r w:rsidR="005227D1" w:rsidRPr="002A2A1C">
        <w:t>而香港</w:t>
      </w:r>
      <w:proofErr w:type="gramStart"/>
      <w:r w:rsidR="005227D1" w:rsidRPr="002A2A1C">
        <w:t>国汇又持有</w:t>
      </w:r>
      <w:r w:rsidR="00C8500E" w:rsidRPr="002A2A1C">
        <w:rPr>
          <w:rFonts w:hint="eastAsia"/>
        </w:rPr>
        <w:t>杭州</w:t>
      </w:r>
      <w:r w:rsidR="005227D1" w:rsidRPr="002A2A1C">
        <w:t>国</w:t>
      </w:r>
      <w:proofErr w:type="gramEnd"/>
      <w:r w:rsidR="005227D1" w:rsidRPr="002A2A1C">
        <w:t>益路桥</w:t>
      </w:r>
      <w:r w:rsidR="00C8500E" w:rsidRPr="002A2A1C">
        <w:rPr>
          <w:rFonts w:hint="eastAsia"/>
        </w:rPr>
        <w:t>公司</w:t>
      </w:r>
      <w:r w:rsidR="005227D1" w:rsidRPr="002A2A1C">
        <w:t>95%</w:t>
      </w:r>
      <w:r w:rsidR="00C8500E" w:rsidRPr="002A2A1C">
        <w:t>的股权</w:t>
      </w:r>
      <w:r w:rsidR="000C66BB">
        <w:t>，</w:t>
      </w:r>
      <w:proofErr w:type="gramStart"/>
      <w:r w:rsidR="00C8500E" w:rsidRPr="002A2A1C">
        <w:rPr>
          <w:rFonts w:hint="eastAsia"/>
        </w:rPr>
        <w:t>杭州</w:t>
      </w:r>
      <w:r w:rsidR="00C8500E" w:rsidRPr="002A2A1C">
        <w:t>国</w:t>
      </w:r>
      <w:proofErr w:type="gramEnd"/>
      <w:r w:rsidR="00C8500E" w:rsidRPr="002A2A1C">
        <w:t>益路桥则拥有杭州绕城高速的收费权益</w:t>
      </w:r>
      <w:r w:rsidR="005227D1" w:rsidRPr="002A2A1C">
        <w:t>。</w:t>
      </w:r>
    </w:p>
    <w:p w:rsidR="005227D1" w:rsidRPr="002A2A1C" w:rsidRDefault="005227D1" w:rsidP="00E805BC">
      <w:pPr>
        <w:ind w:firstLine="480"/>
      </w:pPr>
      <w:r w:rsidRPr="002A2A1C">
        <w:t>2011</w:t>
      </w:r>
      <w:r w:rsidRPr="002A2A1C">
        <w:t>年</w:t>
      </w:r>
      <w:r w:rsidRPr="002A2A1C">
        <w:t>9</w:t>
      </w:r>
      <w:r w:rsidRPr="002A2A1C">
        <w:t>月</w:t>
      </w:r>
      <w:r w:rsidRPr="002A2A1C">
        <w:t>9</w:t>
      </w:r>
      <w:r w:rsidRPr="002A2A1C">
        <w:t>日</w:t>
      </w:r>
      <w:r w:rsidR="000C66BB">
        <w:t>，</w:t>
      </w:r>
      <w:bookmarkStart w:id="6" w:name="_Hlk492544749"/>
      <w:r w:rsidRPr="002A2A1C">
        <w:t>TCI</w:t>
      </w:r>
      <w:r w:rsidR="00FB0413" w:rsidRPr="002A2A1C">
        <w:rPr>
          <w:rFonts w:hint="eastAsia"/>
        </w:rPr>
        <w:t>公司</w:t>
      </w:r>
      <w:r w:rsidRPr="002A2A1C">
        <w:t>将上述</w:t>
      </w:r>
      <w:r w:rsidRPr="002A2A1C">
        <w:t>CFC</w:t>
      </w:r>
      <w:r w:rsidR="00FB0413" w:rsidRPr="002A2A1C">
        <w:rPr>
          <w:rFonts w:hint="eastAsia"/>
        </w:rPr>
        <w:t>公司</w:t>
      </w:r>
      <w:r w:rsidRPr="002A2A1C">
        <w:t>26.32%</w:t>
      </w:r>
      <w:r w:rsidRPr="002A2A1C">
        <w:t>的股权转让给</w:t>
      </w:r>
      <w:r w:rsidRPr="002A2A1C">
        <w:t>MDL</w:t>
      </w:r>
      <w:r w:rsidR="00FB0413" w:rsidRPr="002A2A1C">
        <w:t>公司</w:t>
      </w:r>
      <w:r w:rsidR="000C66BB">
        <w:t>，</w:t>
      </w:r>
      <w:r w:rsidRPr="002A2A1C">
        <w:t>转让价格为</w:t>
      </w:r>
      <w:r w:rsidRPr="002A2A1C">
        <w:t>2.8</w:t>
      </w:r>
      <w:r w:rsidRPr="002A2A1C">
        <w:t>亿美元</w:t>
      </w:r>
      <w:bookmarkEnd w:id="6"/>
      <w:r w:rsidR="000C66BB">
        <w:rPr>
          <w:rFonts w:hint="eastAsia"/>
        </w:rPr>
        <w:t>，</w:t>
      </w:r>
      <w:r w:rsidRPr="002A2A1C">
        <w:t>TC</w:t>
      </w:r>
      <w:r w:rsidR="00FB0413" w:rsidRPr="002A2A1C">
        <w:t>I</w:t>
      </w:r>
      <w:r w:rsidR="00FB0413" w:rsidRPr="002A2A1C">
        <w:rPr>
          <w:rFonts w:hint="eastAsia"/>
        </w:rPr>
        <w:t>公司</w:t>
      </w:r>
      <w:r w:rsidRPr="002A2A1C">
        <w:t>同时向</w:t>
      </w:r>
      <w:r w:rsidRPr="002A2A1C">
        <w:t>MDL</w:t>
      </w:r>
      <w:r w:rsidRPr="002A2A1C">
        <w:t>公司收取利息约合</w:t>
      </w:r>
      <w:r w:rsidRPr="002A2A1C">
        <w:t>380</w:t>
      </w:r>
      <w:r w:rsidRPr="002A2A1C">
        <w:t>万美元。</w:t>
      </w:r>
    </w:p>
    <w:p w:rsidR="00C8453B" w:rsidRPr="002A2A1C" w:rsidRDefault="005227D1" w:rsidP="00E805BC">
      <w:pPr>
        <w:ind w:firstLine="480"/>
      </w:pPr>
      <w:r w:rsidRPr="002A2A1C">
        <w:t>2011</w:t>
      </w:r>
      <w:r w:rsidRPr="002A2A1C">
        <w:t>年</w:t>
      </w:r>
      <w:r w:rsidRPr="002A2A1C">
        <w:t>9</w:t>
      </w:r>
      <w:r w:rsidRPr="002A2A1C">
        <w:t>月</w:t>
      </w:r>
      <w:r w:rsidRPr="002A2A1C">
        <w:t>30</w:t>
      </w:r>
      <w:r w:rsidRPr="002A2A1C">
        <w:t>日</w:t>
      </w:r>
      <w:r w:rsidR="000C66BB">
        <w:t>，</w:t>
      </w:r>
      <w:r w:rsidR="00FB0413" w:rsidRPr="002A2A1C">
        <w:t>TCI</w:t>
      </w:r>
      <w:r w:rsidR="00FB0413" w:rsidRPr="002A2A1C">
        <w:t>公司</w:t>
      </w:r>
      <w:r w:rsidRPr="002A2A1C">
        <w:t>按照</w:t>
      </w:r>
      <w:r w:rsidRPr="002A2A1C">
        <w:t>698</w:t>
      </w:r>
      <w:r w:rsidRPr="002A2A1C">
        <w:t>号文将这笔交易报告西湖区国税局。西湖区国税局经调查并层报国家税务总局</w:t>
      </w:r>
      <w:r w:rsidR="00C8453B" w:rsidRPr="002A2A1C">
        <w:rPr>
          <w:rFonts w:hint="eastAsia"/>
        </w:rPr>
        <w:t>。</w:t>
      </w:r>
    </w:p>
    <w:p w:rsidR="005D51B2" w:rsidRPr="002A2A1C" w:rsidRDefault="005227D1" w:rsidP="00E805BC">
      <w:pPr>
        <w:ind w:firstLine="480"/>
      </w:pPr>
      <w:r w:rsidRPr="002A2A1C">
        <w:t>2013</w:t>
      </w:r>
      <w:r w:rsidRPr="002A2A1C">
        <w:t>年</w:t>
      </w:r>
      <w:r w:rsidRPr="002A2A1C">
        <w:t>7</w:t>
      </w:r>
      <w:r w:rsidRPr="002A2A1C">
        <w:t>月</w:t>
      </w:r>
      <w:r w:rsidR="000C66BB">
        <w:rPr>
          <w:rFonts w:hint="eastAsia"/>
        </w:rPr>
        <w:t>，</w:t>
      </w:r>
      <w:r w:rsidR="00283065">
        <w:rPr>
          <w:rFonts w:hint="eastAsia"/>
        </w:rPr>
        <w:t>国家税务总局</w:t>
      </w:r>
      <w:r w:rsidR="00610337" w:rsidRPr="002A2A1C">
        <w:rPr>
          <w:rFonts w:hint="eastAsia"/>
        </w:rPr>
        <w:t>批复</w:t>
      </w:r>
      <w:r w:rsidR="009E34EF" w:rsidRPr="002A2A1C">
        <w:t>TCI</w:t>
      </w:r>
      <w:r w:rsidR="00610337" w:rsidRPr="002A2A1C">
        <w:t>公司间接转让杭州国益路桥经营管理有限公司股权的交</w:t>
      </w:r>
      <w:r w:rsidR="00EB3EE9" w:rsidRPr="002A2A1C">
        <w:t>易不具有合理商业目的</w:t>
      </w:r>
      <w:r w:rsidR="000C66BB">
        <w:t>，</w:t>
      </w:r>
      <w:r w:rsidR="00610337" w:rsidRPr="002A2A1C">
        <w:t>同意对该交易重新定性</w:t>
      </w:r>
      <w:r w:rsidR="000C66BB">
        <w:t>，</w:t>
      </w:r>
      <w:r w:rsidR="00610337" w:rsidRPr="002A2A1C">
        <w:t>否定被用作税收安排的</w:t>
      </w:r>
      <w:r w:rsidR="00610337" w:rsidRPr="002A2A1C">
        <w:t>CFC</w:t>
      </w:r>
      <w:r w:rsidR="00610337" w:rsidRPr="002A2A1C">
        <w:t>公司和香港</w:t>
      </w:r>
      <w:r w:rsidR="00610337" w:rsidRPr="002A2A1C">
        <w:rPr>
          <w:rFonts w:hint="eastAsia"/>
        </w:rPr>
        <w:t>国汇公司的存在</w:t>
      </w:r>
      <w:r w:rsidR="000C66BB">
        <w:rPr>
          <w:rFonts w:hint="eastAsia"/>
        </w:rPr>
        <w:t>，</w:t>
      </w:r>
      <w:r w:rsidR="00610337" w:rsidRPr="002A2A1C">
        <w:rPr>
          <w:rFonts w:hint="eastAsia"/>
        </w:rPr>
        <w:t>对原告等取得的股权转让所得征收企业所得税。</w:t>
      </w:r>
    </w:p>
    <w:p w:rsidR="00610337" w:rsidRPr="002A2A1C" w:rsidRDefault="005227D1" w:rsidP="00E805BC">
      <w:pPr>
        <w:ind w:firstLine="480"/>
      </w:pPr>
      <w:r w:rsidRPr="002A2A1C">
        <w:t>2013</w:t>
      </w:r>
      <w:r w:rsidRPr="002A2A1C">
        <w:t>年</w:t>
      </w:r>
      <w:r w:rsidRPr="002A2A1C">
        <w:t>11</w:t>
      </w:r>
      <w:r w:rsidRPr="002A2A1C">
        <w:t>月</w:t>
      </w:r>
      <w:r w:rsidRPr="002A2A1C">
        <w:t>12</w:t>
      </w:r>
      <w:r w:rsidRPr="002A2A1C">
        <w:t>日</w:t>
      </w:r>
      <w:r w:rsidR="000C66BB">
        <w:t>，</w:t>
      </w:r>
      <w:r w:rsidR="006F2B68" w:rsidRPr="002A2A1C">
        <w:t>西湖区国税局</w:t>
      </w:r>
      <w:proofErr w:type="gramStart"/>
      <w:r w:rsidR="00C51A70" w:rsidRPr="002A2A1C">
        <w:rPr>
          <w:rFonts w:hint="eastAsia"/>
        </w:rPr>
        <w:t>作出</w:t>
      </w:r>
      <w:proofErr w:type="gramEnd"/>
      <w:r w:rsidRPr="002A2A1C">
        <w:t>了</w:t>
      </w:r>
      <w:bookmarkStart w:id="7" w:name="_Hlk492463116"/>
      <w:r w:rsidRPr="002A2A1C">
        <w:t>杭国税西通（</w:t>
      </w:r>
      <w:r w:rsidRPr="002A2A1C">
        <w:t>2013</w:t>
      </w:r>
      <w:r w:rsidRPr="002A2A1C">
        <w:t>）</w:t>
      </w:r>
      <w:r w:rsidRPr="002A2A1C">
        <w:t>004</w:t>
      </w:r>
      <w:r w:rsidRPr="002A2A1C">
        <w:t>号《税务事项通知书》</w:t>
      </w:r>
      <w:bookmarkEnd w:id="7"/>
      <w:r w:rsidR="000C66BB">
        <w:t>，</w:t>
      </w:r>
      <w:r w:rsidR="00C2392E" w:rsidRPr="002A2A1C">
        <w:rPr>
          <w:rFonts w:hint="eastAsia"/>
        </w:rPr>
        <w:t>根据</w:t>
      </w:r>
      <w:r w:rsidR="00C2392E" w:rsidRPr="002A2A1C">
        <w:t>相关规定</w:t>
      </w:r>
      <w:r w:rsidR="00AB5CA6">
        <w:rPr>
          <w:rStyle w:val="a8"/>
          <w:rFonts w:cs="Times New Roman"/>
          <w:color w:val="000000"/>
          <w:kern w:val="0"/>
          <w:szCs w:val="24"/>
        </w:rPr>
        <w:footnoteReference w:id="3"/>
      </w:r>
      <w:r w:rsidR="000C66BB">
        <w:t>，</w:t>
      </w:r>
      <w:r w:rsidR="00C2392E" w:rsidRPr="002A2A1C">
        <w:t>认定</w:t>
      </w:r>
      <w:r w:rsidR="00C2392E" w:rsidRPr="002A2A1C">
        <w:rPr>
          <w:rFonts w:hint="eastAsia"/>
        </w:rPr>
        <w:t>TCI</w:t>
      </w:r>
      <w:r w:rsidR="00C2392E" w:rsidRPr="002A2A1C">
        <w:rPr>
          <w:rFonts w:hint="eastAsia"/>
        </w:rPr>
        <w:t>公司</w:t>
      </w:r>
      <w:r w:rsidR="00C2392E" w:rsidRPr="002A2A1C">
        <w:t>转让所得约</w:t>
      </w:r>
      <w:r w:rsidR="00C2392E" w:rsidRPr="002A2A1C">
        <w:t>1.73</w:t>
      </w:r>
      <w:r w:rsidR="00C2392E" w:rsidRPr="002A2A1C">
        <w:t>亿美元</w:t>
      </w:r>
      <w:r w:rsidR="000C66BB">
        <w:rPr>
          <w:rFonts w:hint="eastAsia"/>
        </w:rPr>
        <w:t>，</w:t>
      </w:r>
      <w:r w:rsidR="00C2392E" w:rsidRPr="002A2A1C">
        <w:rPr>
          <w:rFonts w:hint="eastAsia"/>
        </w:rPr>
        <w:t>要求折合成人民币、按</w:t>
      </w:r>
      <w:r w:rsidR="00C2392E" w:rsidRPr="002A2A1C">
        <w:t>10%</w:t>
      </w:r>
      <w:r w:rsidR="00C2392E" w:rsidRPr="002A2A1C">
        <w:t>的税率计算缴纳企业所得税。</w:t>
      </w:r>
      <w:r w:rsidR="00C2392E" w:rsidRPr="002A2A1C">
        <w:rPr>
          <w:rFonts w:hint="eastAsia"/>
        </w:rPr>
        <w:t>TC</w:t>
      </w:r>
      <w:r w:rsidR="00C2392E" w:rsidRPr="002A2A1C">
        <w:t>I</w:t>
      </w:r>
      <w:r w:rsidR="00C2392E" w:rsidRPr="002A2A1C">
        <w:rPr>
          <w:rFonts w:hint="eastAsia"/>
        </w:rPr>
        <w:t>公司按要求缴纳了税款</w:t>
      </w:r>
      <w:r w:rsidR="00793C97" w:rsidRPr="002A2A1C">
        <w:t>105310815.32</w:t>
      </w:r>
      <w:r w:rsidR="00793C97" w:rsidRPr="002A2A1C">
        <w:t>元</w:t>
      </w:r>
      <w:r w:rsidR="00C2392E" w:rsidRPr="002A2A1C">
        <w:rPr>
          <w:rFonts w:hint="eastAsia"/>
        </w:rPr>
        <w:t>。</w:t>
      </w:r>
    </w:p>
    <w:p w:rsidR="00610337" w:rsidRPr="002A2A1C" w:rsidRDefault="00610337" w:rsidP="00E805BC">
      <w:pPr>
        <w:ind w:firstLine="480"/>
      </w:pPr>
      <w:r w:rsidRPr="002A2A1C">
        <w:rPr>
          <w:rFonts w:hint="eastAsia"/>
        </w:rPr>
        <w:t>2014</w:t>
      </w:r>
      <w:r w:rsidRPr="002A2A1C">
        <w:rPr>
          <w:rFonts w:hint="eastAsia"/>
        </w:rPr>
        <w:t>年</w:t>
      </w:r>
      <w:r w:rsidRPr="002A2A1C">
        <w:rPr>
          <w:rFonts w:hint="eastAsia"/>
        </w:rPr>
        <w:t>1</w:t>
      </w:r>
      <w:r w:rsidRPr="002A2A1C">
        <w:rPr>
          <w:rFonts w:hint="eastAsia"/>
        </w:rPr>
        <w:t>月</w:t>
      </w:r>
      <w:r w:rsidRPr="002A2A1C">
        <w:rPr>
          <w:rFonts w:hint="eastAsia"/>
        </w:rPr>
        <w:t>17</w:t>
      </w:r>
      <w:r w:rsidRPr="002A2A1C">
        <w:rPr>
          <w:rFonts w:hint="eastAsia"/>
        </w:rPr>
        <w:t>日</w:t>
      </w:r>
      <w:r w:rsidR="000C66BB">
        <w:rPr>
          <w:rFonts w:hint="eastAsia"/>
        </w:rPr>
        <w:t>，</w:t>
      </w:r>
      <w:r w:rsidR="009E34EF" w:rsidRPr="002A2A1C">
        <w:rPr>
          <w:rFonts w:hint="eastAsia"/>
        </w:rPr>
        <w:t>TCI</w:t>
      </w:r>
      <w:r w:rsidRPr="002A2A1C">
        <w:rPr>
          <w:rFonts w:hint="eastAsia"/>
        </w:rPr>
        <w:t>公司向杭州市国家税务局提起行政复议。杭州市国家税务局</w:t>
      </w:r>
      <w:proofErr w:type="gramStart"/>
      <w:r w:rsidR="00C51A70" w:rsidRPr="002A2A1C">
        <w:rPr>
          <w:rFonts w:hint="eastAsia"/>
        </w:rPr>
        <w:t>作出</w:t>
      </w:r>
      <w:proofErr w:type="gramEnd"/>
      <w:r w:rsidRPr="002A2A1C">
        <w:rPr>
          <w:rFonts w:hint="eastAsia"/>
        </w:rPr>
        <w:t>行政复议决定书</w:t>
      </w:r>
      <w:r w:rsidRPr="002A2A1C">
        <w:t>（文书号：</w:t>
      </w:r>
      <w:bookmarkStart w:id="8" w:name="_Hlk492463141"/>
      <w:r w:rsidRPr="002A2A1C">
        <w:t>杭国税复议字</w:t>
      </w:r>
      <w:r w:rsidRPr="002A2A1C">
        <w:t>[2014]1</w:t>
      </w:r>
      <w:r w:rsidRPr="002A2A1C">
        <w:t>号）</w:t>
      </w:r>
      <w:bookmarkEnd w:id="8"/>
      <w:r w:rsidR="000C66BB">
        <w:rPr>
          <w:rFonts w:hint="eastAsia"/>
        </w:rPr>
        <w:t>，</w:t>
      </w:r>
      <w:r w:rsidRPr="002A2A1C">
        <w:rPr>
          <w:rFonts w:hint="eastAsia"/>
        </w:rPr>
        <w:t>维持了杭州市国家税务局</w:t>
      </w:r>
      <w:proofErr w:type="gramStart"/>
      <w:r w:rsidR="00C51A70" w:rsidRPr="002A2A1C">
        <w:rPr>
          <w:rFonts w:hint="eastAsia"/>
        </w:rPr>
        <w:t>作出</w:t>
      </w:r>
      <w:proofErr w:type="gramEnd"/>
      <w:r w:rsidRPr="002A2A1C">
        <w:rPr>
          <w:rFonts w:hint="eastAsia"/>
        </w:rPr>
        <w:t>的《税务事项通知书》</w:t>
      </w:r>
    </w:p>
    <w:p w:rsidR="00BB2227" w:rsidRPr="002A2A1C" w:rsidRDefault="009E34EF" w:rsidP="00E805BC">
      <w:pPr>
        <w:ind w:firstLine="480"/>
      </w:pPr>
      <w:r w:rsidRPr="002A2A1C">
        <w:t>TCI</w:t>
      </w:r>
      <w:r w:rsidR="00610337" w:rsidRPr="002A2A1C">
        <w:t>公司</w:t>
      </w:r>
      <w:r w:rsidR="00610337" w:rsidRPr="002A2A1C">
        <w:rPr>
          <w:rFonts w:hint="eastAsia"/>
        </w:rPr>
        <w:t>向法院提起诉讼</w:t>
      </w:r>
      <w:r w:rsidR="000C66BB">
        <w:rPr>
          <w:rFonts w:hint="eastAsia"/>
        </w:rPr>
        <w:t>，</w:t>
      </w:r>
      <w:r w:rsidR="00610337" w:rsidRPr="002A2A1C">
        <w:t>要求撤销杭州市西湖区国家税务局对</w:t>
      </w:r>
      <w:r w:rsidRPr="002A2A1C">
        <w:t>TCI</w:t>
      </w:r>
      <w:r w:rsidR="00610337" w:rsidRPr="002A2A1C">
        <w:t>公司</w:t>
      </w:r>
      <w:proofErr w:type="gramStart"/>
      <w:r w:rsidR="00C51A70" w:rsidRPr="002A2A1C">
        <w:rPr>
          <w:rFonts w:hint="eastAsia"/>
        </w:rPr>
        <w:t>作出</w:t>
      </w:r>
      <w:proofErr w:type="gramEnd"/>
      <w:r w:rsidR="00610337" w:rsidRPr="002A2A1C">
        <w:rPr>
          <w:rFonts w:hint="eastAsia"/>
        </w:rPr>
        <w:t>的</w:t>
      </w:r>
      <w:r w:rsidR="00610337" w:rsidRPr="002A2A1C">
        <w:t>《税务事项通知书》</w:t>
      </w:r>
      <w:r w:rsidR="00BB2227" w:rsidRPr="002A2A1C">
        <w:rPr>
          <w:rFonts w:hint="eastAsia"/>
        </w:rPr>
        <w:t>。</w:t>
      </w:r>
      <w:r w:rsidR="00610337" w:rsidRPr="002A2A1C">
        <w:rPr>
          <w:rFonts w:hint="eastAsia"/>
        </w:rPr>
        <w:t>杭州市中级人民法院</w:t>
      </w:r>
      <w:proofErr w:type="gramStart"/>
      <w:r w:rsidR="00C51A70" w:rsidRPr="002A2A1C">
        <w:rPr>
          <w:rFonts w:hint="eastAsia"/>
        </w:rPr>
        <w:t>作出</w:t>
      </w:r>
      <w:proofErr w:type="gramEnd"/>
      <w:r w:rsidR="00610337" w:rsidRPr="002A2A1C">
        <w:t>行政判决书</w:t>
      </w:r>
      <w:bookmarkStart w:id="9" w:name="_Hlk492463147"/>
      <w:r w:rsidR="00610337" w:rsidRPr="002A2A1C">
        <w:t>（文书号：（</w:t>
      </w:r>
      <w:r w:rsidR="00610337" w:rsidRPr="002A2A1C">
        <w:t>2015</w:t>
      </w:r>
      <w:r w:rsidR="00610337" w:rsidRPr="002A2A1C">
        <w:t>）</w:t>
      </w:r>
      <w:proofErr w:type="gramStart"/>
      <w:r w:rsidR="00610337" w:rsidRPr="002A2A1C">
        <w:t>浙杭行</w:t>
      </w:r>
      <w:proofErr w:type="gramEnd"/>
      <w:r w:rsidR="00610337" w:rsidRPr="002A2A1C">
        <w:t>初字第</w:t>
      </w:r>
      <w:r w:rsidR="00610337" w:rsidRPr="002A2A1C">
        <w:t>4</w:t>
      </w:r>
      <w:r w:rsidR="00610337" w:rsidRPr="002A2A1C">
        <w:t>号）</w:t>
      </w:r>
      <w:bookmarkEnd w:id="9"/>
      <w:r w:rsidR="000C66BB">
        <w:t>，</w:t>
      </w:r>
      <w:r w:rsidR="00610337" w:rsidRPr="002A2A1C">
        <w:t>判决驳回</w:t>
      </w:r>
      <w:r w:rsidRPr="002A2A1C">
        <w:t>TCI</w:t>
      </w:r>
      <w:r w:rsidR="00610337" w:rsidRPr="002A2A1C">
        <w:t>公司的诉讼请求</w:t>
      </w:r>
      <w:r w:rsidR="00BB2227" w:rsidRPr="002A2A1C">
        <w:rPr>
          <w:rFonts w:hint="eastAsia"/>
        </w:rPr>
        <w:t>。</w:t>
      </w:r>
    </w:p>
    <w:p w:rsidR="00244A6A" w:rsidRDefault="009E34EF" w:rsidP="00E805BC">
      <w:pPr>
        <w:ind w:firstLine="480"/>
      </w:pPr>
      <w:r w:rsidRPr="002A2A1C">
        <w:t>TCI</w:t>
      </w:r>
      <w:r w:rsidR="00610337" w:rsidRPr="002A2A1C">
        <w:t>公司不服</w:t>
      </w:r>
      <w:r w:rsidR="000C66BB">
        <w:t>，</w:t>
      </w:r>
      <w:r w:rsidR="00610337" w:rsidRPr="002A2A1C">
        <w:t>向浙江省高级人民法院上诉</w:t>
      </w:r>
      <w:r w:rsidR="000C66BB">
        <w:t>，</w:t>
      </w:r>
      <w:r w:rsidR="00610337" w:rsidRPr="002A2A1C">
        <w:t>浙江省高级人民法院</w:t>
      </w:r>
      <w:proofErr w:type="gramStart"/>
      <w:r w:rsidR="00C51A70" w:rsidRPr="002A2A1C">
        <w:rPr>
          <w:rFonts w:hint="eastAsia"/>
        </w:rPr>
        <w:t>作出</w:t>
      </w:r>
      <w:proofErr w:type="gramEnd"/>
      <w:r w:rsidR="00610337" w:rsidRPr="002A2A1C">
        <w:t>行政判决书（</w:t>
      </w:r>
      <w:bookmarkStart w:id="10" w:name="_Hlk492463152"/>
      <w:r w:rsidR="00610337" w:rsidRPr="002A2A1C">
        <w:t>文书号：（</w:t>
      </w:r>
      <w:r w:rsidR="00610337" w:rsidRPr="002A2A1C">
        <w:t>2015</w:t>
      </w:r>
      <w:r w:rsidR="00610337" w:rsidRPr="002A2A1C">
        <w:t>）</w:t>
      </w:r>
      <w:proofErr w:type="gramStart"/>
      <w:r w:rsidR="00610337" w:rsidRPr="002A2A1C">
        <w:t>浙行终</w:t>
      </w:r>
      <w:proofErr w:type="gramEnd"/>
      <w:r w:rsidR="00610337" w:rsidRPr="002A2A1C">
        <w:t>字第</w:t>
      </w:r>
      <w:r w:rsidR="00610337" w:rsidRPr="002A2A1C">
        <w:t>441</w:t>
      </w:r>
      <w:r w:rsidR="00610337" w:rsidRPr="002A2A1C">
        <w:t>号）</w:t>
      </w:r>
      <w:bookmarkEnd w:id="10"/>
      <w:r w:rsidR="000C66BB">
        <w:t>，</w:t>
      </w:r>
      <w:r w:rsidR="00610337" w:rsidRPr="002A2A1C">
        <w:t>判决维持一审判决</w:t>
      </w:r>
      <w:r w:rsidR="00BB2227" w:rsidRPr="002A2A1C">
        <w:rPr>
          <w:rFonts w:hint="eastAsia"/>
        </w:rPr>
        <w:t>。</w:t>
      </w:r>
    </w:p>
    <w:p w:rsidR="00610337" w:rsidRPr="002A2A1C" w:rsidRDefault="00610337" w:rsidP="00E805BC">
      <w:pPr>
        <w:ind w:firstLine="480"/>
      </w:pPr>
      <w:r w:rsidRPr="002A2A1C">
        <w:t>儿童投资主基</w:t>
      </w:r>
      <w:proofErr w:type="gramStart"/>
      <w:r w:rsidRPr="002A2A1C">
        <w:t>金依然</w:t>
      </w:r>
      <w:proofErr w:type="gramEnd"/>
      <w:r w:rsidRPr="002A2A1C">
        <w:t>不服</w:t>
      </w:r>
      <w:r w:rsidR="000C66BB">
        <w:t>，</w:t>
      </w:r>
      <w:r w:rsidRPr="002A2A1C">
        <w:t>向最高人民法院申诉</w:t>
      </w:r>
      <w:r w:rsidR="000C66BB">
        <w:t>，</w:t>
      </w:r>
      <w:r w:rsidRPr="002A2A1C">
        <w:t>最高人民法院</w:t>
      </w:r>
      <w:r w:rsidR="008A22A9" w:rsidRPr="002A2A1C">
        <w:t>于</w:t>
      </w:r>
      <w:r w:rsidR="008A22A9" w:rsidRPr="002A2A1C">
        <w:t>2016</w:t>
      </w:r>
      <w:r w:rsidR="008A22A9" w:rsidRPr="002A2A1C">
        <w:t>年</w:t>
      </w:r>
      <w:r w:rsidR="008A22A9" w:rsidRPr="002A2A1C">
        <w:t>9</w:t>
      </w:r>
      <w:r w:rsidR="008A22A9" w:rsidRPr="002A2A1C">
        <w:t>月</w:t>
      </w:r>
      <w:r w:rsidR="008A22A9" w:rsidRPr="002A2A1C">
        <w:t>8</w:t>
      </w:r>
      <w:r w:rsidR="008A22A9" w:rsidRPr="002A2A1C">
        <w:t>日</w:t>
      </w:r>
      <w:proofErr w:type="gramStart"/>
      <w:r w:rsidR="00C51A70" w:rsidRPr="002A2A1C">
        <w:rPr>
          <w:rFonts w:hint="eastAsia"/>
        </w:rPr>
        <w:t>作出</w:t>
      </w:r>
      <w:proofErr w:type="gramEnd"/>
      <w:r w:rsidR="008A22A9" w:rsidRPr="002A2A1C">
        <w:t>行政裁决书</w:t>
      </w:r>
      <w:r w:rsidR="008A22A9" w:rsidRPr="002A2A1C">
        <w:rPr>
          <w:rFonts w:hint="eastAsia"/>
        </w:rPr>
        <w:t>（</w:t>
      </w:r>
      <w:bookmarkStart w:id="11" w:name="_Hlk492463160"/>
      <w:r w:rsidR="008A22A9" w:rsidRPr="002A2A1C">
        <w:t>文书号：（</w:t>
      </w:r>
      <w:r w:rsidR="008A22A9" w:rsidRPr="002A2A1C">
        <w:t>2016</w:t>
      </w:r>
      <w:r w:rsidR="008A22A9" w:rsidRPr="002A2A1C">
        <w:t>）最高</w:t>
      </w:r>
      <w:proofErr w:type="gramStart"/>
      <w:r w:rsidR="008A22A9" w:rsidRPr="002A2A1C">
        <w:t>法行申</w:t>
      </w:r>
      <w:r w:rsidR="008A22A9" w:rsidRPr="002A2A1C">
        <w:t>1867</w:t>
      </w:r>
      <w:r w:rsidR="008A22A9" w:rsidRPr="002A2A1C">
        <w:t>号</w:t>
      </w:r>
      <w:bookmarkEnd w:id="11"/>
      <w:proofErr w:type="gramEnd"/>
      <w:r w:rsidR="008A22A9" w:rsidRPr="002A2A1C">
        <w:rPr>
          <w:rFonts w:hint="eastAsia"/>
        </w:rPr>
        <w:t>）</w:t>
      </w:r>
      <w:r w:rsidR="000C66BB">
        <w:t>，</w:t>
      </w:r>
      <w:r w:rsidRPr="002A2A1C">
        <w:t>裁决维持一、二审判决。</w:t>
      </w:r>
    </w:p>
    <w:p w:rsidR="002968B3" w:rsidRDefault="002968B3" w:rsidP="00E805BC">
      <w:pPr>
        <w:ind w:firstLine="480"/>
      </w:pPr>
      <w:r w:rsidRPr="002A2A1C">
        <w:t>2017</w:t>
      </w:r>
      <w:r w:rsidRPr="002A2A1C">
        <w:t>年</w:t>
      </w:r>
      <w:r w:rsidRPr="002A2A1C">
        <w:t>4</w:t>
      </w:r>
      <w:r w:rsidRPr="002A2A1C">
        <w:t>月</w:t>
      </w:r>
      <w:r w:rsidR="000C66BB">
        <w:rPr>
          <w:rFonts w:hint="eastAsia"/>
        </w:rPr>
        <w:t>，</w:t>
      </w:r>
      <w:r w:rsidRPr="002A2A1C">
        <w:rPr>
          <w:rFonts w:hint="eastAsia"/>
        </w:rPr>
        <w:t>包括</w:t>
      </w:r>
      <w:r w:rsidRPr="002A2A1C">
        <w:rPr>
          <w:rFonts w:hint="eastAsia"/>
        </w:rPr>
        <w:t>TCI</w:t>
      </w:r>
      <w:r w:rsidRPr="002A2A1C">
        <w:rPr>
          <w:rFonts w:hint="eastAsia"/>
        </w:rPr>
        <w:t>公司在内的三家</w:t>
      </w:r>
      <w:r w:rsidRPr="002A2A1C">
        <w:rPr>
          <w:rFonts w:hint="eastAsia"/>
        </w:rPr>
        <w:t>CFC</w:t>
      </w:r>
      <w:r w:rsidRPr="002A2A1C">
        <w:rPr>
          <w:rFonts w:hint="eastAsia"/>
        </w:rPr>
        <w:t>公司原股东就间接转让杭州国益路桥公司股权缴纳完全部应交企业所得税。</w:t>
      </w:r>
    </w:p>
    <w:p w:rsidR="00D10E4B" w:rsidRPr="002A2A1C" w:rsidRDefault="00D10E4B" w:rsidP="002A2A1C">
      <w:pPr>
        <w:ind w:firstLine="480"/>
        <w:rPr>
          <w:rFonts w:cs="Times New Roman"/>
          <w:color w:val="000000"/>
          <w:kern w:val="0"/>
          <w:szCs w:val="24"/>
        </w:rPr>
      </w:pPr>
    </w:p>
    <w:p w:rsidR="00054E1D" w:rsidRDefault="00054E1D" w:rsidP="002A2A1C">
      <w:pPr>
        <w:pStyle w:val="10"/>
        <w:spacing w:beforeLines="100" w:before="312" w:afterLines="100" w:after="312"/>
        <w:ind w:firstLine="640"/>
        <w:rPr>
          <w:rFonts w:ascii="Times New Roman" w:eastAsiaTheme="minorEastAsia" w:hAnsi="Times New Roman"/>
        </w:rPr>
        <w:sectPr w:rsidR="00054E1D">
          <w:headerReference w:type="default" r:id="rId19"/>
          <w:pgSz w:w="11906" w:h="16838"/>
          <w:pgMar w:top="1440" w:right="1800" w:bottom="1440" w:left="1800" w:header="851" w:footer="992" w:gutter="0"/>
          <w:cols w:space="425"/>
          <w:docGrid w:type="lines" w:linePitch="312"/>
        </w:sectPr>
      </w:pPr>
    </w:p>
    <w:p w:rsidR="0047061C" w:rsidRPr="002A2A1C" w:rsidRDefault="005E0CEE" w:rsidP="00F50027">
      <w:pPr>
        <w:pStyle w:val="1"/>
        <w:ind w:firstLine="643"/>
      </w:pPr>
      <w:bookmarkStart w:id="12" w:name="_Toc492587010"/>
      <w:r>
        <w:lastRenderedPageBreak/>
        <w:t>3</w:t>
      </w:r>
      <w:r w:rsidR="0047061C" w:rsidRPr="002A2A1C">
        <w:t xml:space="preserve"> </w:t>
      </w:r>
      <w:bookmarkStart w:id="13" w:name="_Hlk492319835"/>
      <w:r w:rsidR="0047061C" w:rsidRPr="002A2A1C">
        <w:rPr>
          <w:rFonts w:hint="eastAsia"/>
        </w:rPr>
        <w:t>儿童投资主基</w:t>
      </w:r>
      <w:proofErr w:type="gramStart"/>
      <w:r w:rsidR="0047061C" w:rsidRPr="002A2A1C">
        <w:rPr>
          <w:rFonts w:hint="eastAsia"/>
        </w:rPr>
        <w:t>金案件</w:t>
      </w:r>
      <w:bookmarkEnd w:id="13"/>
      <w:proofErr w:type="gramEnd"/>
      <w:r w:rsidR="009F6643">
        <w:rPr>
          <w:rFonts w:hint="eastAsia"/>
        </w:rPr>
        <w:t>详情</w:t>
      </w:r>
      <w:bookmarkEnd w:id="12"/>
    </w:p>
    <w:p w:rsidR="0050582D" w:rsidRPr="002A2A1C" w:rsidRDefault="005E0CEE" w:rsidP="00F50027">
      <w:pPr>
        <w:pStyle w:val="2"/>
        <w:ind w:firstLine="562"/>
      </w:pPr>
      <w:bookmarkStart w:id="14" w:name="_Toc492587011"/>
      <w:r>
        <w:t>3</w:t>
      </w:r>
      <w:r w:rsidR="00BB2227" w:rsidRPr="002A2A1C">
        <w:rPr>
          <w:rFonts w:hint="eastAsia"/>
        </w:rPr>
        <w:t>.1</w:t>
      </w:r>
      <w:r w:rsidR="00BB2227" w:rsidRPr="002A2A1C">
        <w:rPr>
          <w:rFonts w:hint="eastAsia"/>
        </w:rPr>
        <w:t>对儿童投资主基</w:t>
      </w:r>
      <w:proofErr w:type="gramStart"/>
      <w:r w:rsidR="00BB2227" w:rsidRPr="002A2A1C">
        <w:rPr>
          <w:rFonts w:hint="eastAsia"/>
        </w:rPr>
        <w:t>金案件</w:t>
      </w:r>
      <w:proofErr w:type="gramEnd"/>
      <w:r w:rsidR="00BB2227" w:rsidRPr="002A2A1C">
        <w:rPr>
          <w:rFonts w:hint="eastAsia"/>
        </w:rPr>
        <w:t>的法律认定</w:t>
      </w:r>
      <w:bookmarkEnd w:id="14"/>
    </w:p>
    <w:p w:rsidR="00C2392E" w:rsidRPr="002A2A1C" w:rsidRDefault="004B7307" w:rsidP="00E805BC">
      <w:pPr>
        <w:ind w:firstLine="480"/>
      </w:pPr>
      <w:r w:rsidRPr="002A2A1C">
        <w:rPr>
          <w:rFonts w:hint="eastAsia"/>
        </w:rPr>
        <w:t>本案</w:t>
      </w:r>
      <w:r w:rsidR="00BF3163" w:rsidRPr="002A2A1C">
        <w:rPr>
          <w:rFonts w:hint="eastAsia"/>
        </w:rPr>
        <w:t>中</w:t>
      </w:r>
      <w:r w:rsidR="000C66BB">
        <w:rPr>
          <w:rFonts w:hint="eastAsia"/>
        </w:rPr>
        <w:t>，</w:t>
      </w:r>
      <w:r w:rsidR="004C614D" w:rsidRPr="002A2A1C">
        <w:rPr>
          <w:rFonts w:hint="eastAsia"/>
        </w:rPr>
        <w:t>税务机关认定了三项事实：</w:t>
      </w:r>
    </w:p>
    <w:p w:rsidR="00C2392E" w:rsidRPr="002A2A1C" w:rsidRDefault="00C2392E" w:rsidP="00E805BC">
      <w:pPr>
        <w:ind w:firstLine="480"/>
      </w:pPr>
      <w:r w:rsidRPr="002A2A1C">
        <w:rPr>
          <w:rFonts w:hint="eastAsia"/>
        </w:rPr>
        <w:t>一、境外被转让的</w:t>
      </w:r>
      <w:r w:rsidRPr="002A2A1C">
        <w:t>CFC</w:t>
      </w:r>
      <w:r w:rsidRPr="002A2A1C">
        <w:t>公司和香港国汇公司仅在避税地或低税率地区注册</w:t>
      </w:r>
      <w:r w:rsidR="000C66BB">
        <w:t>，</w:t>
      </w:r>
      <w:r w:rsidRPr="002A2A1C">
        <w:t>不从事制造、经销、管理等实质性经营活动；</w:t>
      </w:r>
    </w:p>
    <w:p w:rsidR="00C2392E" w:rsidRPr="002A2A1C" w:rsidRDefault="00C2392E" w:rsidP="00E805BC">
      <w:pPr>
        <w:ind w:firstLine="480"/>
      </w:pPr>
      <w:r w:rsidRPr="002A2A1C">
        <w:t>二、股权转让价主要取决于对中国居民企业杭州国益路桥公司的估值</w:t>
      </w:r>
      <w:r w:rsidR="00DF0E20">
        <w:rPr>
          <w:rStyle w:val="a8"/>
          <w:rFonts w:cs="Times New Roman"/>
          <w:color w:val="000000"/>
          <w:kern w:val="0"/>
          <w:szCs w:val="24"/>
        </w:rPr>
        <w:footnoteReference w:id="4"/>
      </w:r>
      <w:r w:rsidRPr="002A2A1C">
        <w:t>；</w:t>
      </w:r>
    </w:p>
    <w:p w:rsidR="00C2392E" w:rsidRPr="002A2A1C" w:rsidRDefault="00C2392E" w:rsidP="00E805BC">
      <w:pPr>
        <w:ind w:firstLine="480"/>
      </w:pPr>
      <w:r w:rsidRPr="002A2A1C">
        <w:t>三、股权受让方对外披露收购的实际标的为杭州国益路桥公司股权</w:t>
      </w:r>
      <w:r w:rsidR="00DF0E20">
        <w:rPr>
          <w:rStyle w:val="a8"/>
          <w:rFonts w:cs="Times New Roman"/>
          <w:color w:val="000000"/>
          <w:kern w:val="0"/>
          <w:szCs w:val="24"/>
        </w:rPr>
        <w:footnoteReference w:id="5"/>
      </w:r>
      <w:r w:rsidRPr="002A2A1C">
        <w:t>。</w:t>
      </w:r>
    </w:p>
    <w:p w:rsidR="005C7AD7" w:rsidRPr="002A2A1C" w:rsidRDefault="00B5585A" w:rsidP="00E805BC">
      <w:pPr>
        <w:ind w:firstLine="480"/>
      </w:pPr>
      <w:r w:rsidRPr="002A2A1C">
        <w:t>此三项事实有充分的证据予以证明。</w:t>
      </w:r>
      <w:r w:rsidR="005C7AD7" w:rsidRPr="002A2A1C">
        <w:rPr>
          <w:rFonts w:hint="eastAsia"/>
        </w:rPr>
        <w:t>税务机关根据此三项事实</w:t>
      </w:r>
      <w:r w:rsidR="000C66BB">
        <w:rPr>
          <w:rFonts w:hint="eastAsia"/>
        </w:rPr>
        <w:t>，</w:t>
      </w:r>
      <w:r w:rsidR="005C7AD7" w:rsidRPr="002A2A1C">
        <w:rPr>
          <w:rFonts w:hint="eastAsia"/>
        </w:rPr>
        <w:t>认定</w:t>
      </w:r>
      <w:r w:rsidR="005C7AD7" w:rsidRPr="002A2A1C">
        <w:t>TCI</w:t>
      </w:r>
      <w:r w:rsidR="005C7AD7" w:rsidRPr="002A2A1C">
        <w:t>公司等境外转让方转让</w:t>
      </w:r>
      <w:r w:rsidR="005C7AD7" w:rsidRPr="002A2A1C">
        <w:t>CFC</w:t>
      </w:r>
      <w:r w:rsidR="005C7AD7" w:rsidRPr="002A2A1C">
        <w:t>公司和香港国汇公司</w:t>
      </w:r>
      <w:r w:rsidR="000C66BB">
        <w:t>，</w:t>
      </w:r>
      <w:r w:rsidR="005C7AD7" w:rsidRPr="002A2A1C">
        <w:t>从而间接转让</w:t>
      </w:r>
      <w:proofErr w:type="gramStart"/>
      <w:r w:rsidR="005C7AD7" w:rsidRPr="002A2A1C">
        <w:t>杭州国</w:t>
      </w:r>
      <w:proofErr w:type="gramEnd"/>
      <w:r w:rsidR="005C7AD7" w:rsidRPr="002A2A1C">
        <w:t>益路桥公司股权的交易不具有合理商业目的</w:t>
      </w:r>
      <w:r w:rsidR="000C66BB">
        <w:t>，</w:t>
      </w:r>
      <w:r w:rsidR="005C7AD7" w:rsidRPr="002A2A1C">
        <w:t>属于以减少我国企业所得税为主要目的</w:t>
      </w:r>
      <w:proofErr w:type="gramStart"/>
      <w:r w:rsidR="005C7AD7" w:rsidRPr="002A2A1C">
        <w:t>的</w:t>
      </w:r>
      <w:proofErr w:type="gramEnd"/>
      <w:r w:rsidR="005C7AD7" w:rsidRPr="002A2A1C">
        <w:t>安排</w:t>
      </w:r>
      <w:r w:rsidR="000C66BB">
        <w:t>，</w:t>
      </w:r>
      <w:r w:rsidR="005C7AD7" w:rsidRPr="002A2A1C">
        <w:rPr>
          <w:rFonts w:hint="eastAsia"/>
        </w:rPr>
        <w:t>税务机关对交易重新定性</w:t>
      </w:r>
      <w:r w:rsidR="000C66BB">
        <w:rPr>
          <w:rFonts w:hint="eastAsia"/>
        </w:rPr>
        <w:t>，</w:t>
      </w:r>
      <w:r w:rsidR="005C7AD7" w:rsidRPr="002A2A1C">
        <w:rPr>
          <w:rFonts w:hint="eastAsia"/>
        </w:rPr>
        <w:t>否定被用作税收安排的</w:t>
      </w:r>
      <w:proofErr w:type="spellStart"/>
      <w:r w:rsidR="005C7AD7" w:rsidRPr="002A2A1C">
        <w:t>CFC</w:t>
      </w:r>
      <w:proofErr w:type="spellEnd"/>
      <w:r w:rsidR="005C7AD7" w:rsidRPr="002A2A1C">
        <w:t>公司和香港国汇公司的存在</w:t>
      </w:r>
      <w:r w:rsidR="000C66BB">
        <w:t>，</w:t>
      </w:r>
      <w:r w:rsidR="005C7AD7" w:rsidRPr="002A2A1C">
        <w:t>对原告取得的股权转让所得征收企业所得税</w:t>
      </w:r>
      <w:r w:rsidR="005C7AD7" w:rsidRPr="002A2A1C">
        <w:rPr>
          <w:rFonts w:hint="eastAsia"/>
        </w:rPr>
        <w:t>。</w:t>
      </w:r>
    </w:p>
    <w:p w:rsidR="004C614D" w:rsidRPr="002A2A1C" w:rsidRDefault="00992150" w:rsidP="00E805BC">
      <w:pPr>
        <w:ind w:firstLine="480"/>
      </w:pPr>
      <w:r>
        <w:rPr>
          <w:rFonts w:hint="eastAsia"/>
        </w:rPr>
        <w:t>浙江省杭州市中级人民法院一审</w:t>
      </w:r>
      <w:r w:rsidR="000F4377">
        <w:rPr>
          <w:rFonts w:hint="eastAsia"/>
        </w:rPr>
        <w:t>、</w:t>
      </w:r>
      <w:r w:rsidR="000F4377" w:rsidRPr="002A2A1C">
        <w:rPr>
          <w:rFonts w:hint="eastAsia"/>
        </w:rPr>
        <w:t>二审</w:t>
      </w:r>
      <w:r>
        <w:rPr>
          <w:rFonts w:hint="eastAsia"/>
        </w:rPr>
        <w:t>认为</w:t>
      </w:r>
      <w:r w:rsidR="005C7AD7" w:rsidRPr="002A2A1C">
        <w:rPr>
          <w:rFonts w:hint="eastAsia"/>
        </w:rPr>
        <w:t>本案中税务机关适用规定具有正当性和必要性</w:t>
      </w:r>
      <w:r w:rsidR="000C66BB">
        <w:rPr>
          <w:rFonts w:hint="eastAsia"/>
        </w:rPr>
        <w:t>，</w:t>
      </w:r>
      <w:r w:rsidR="005C7AD7" w:rsidRPr="002A2A1C">
        <w:rPr>
          <w:rFonts w:hint="eastAsia"/>
        </w:rPr>
        <w:t>遂判决驳回儿童投资主基金的诉讼请求。</w:t>
      </w:r>
    </w:p>
    <w:p w:rsidR="005C7AD7" w:rsidRDefault="000F4377" w:rsidP="00E805BC">
      <w:pPr>
        <w:ind w:firstLine="480"/>
      </w:pPr>
      <w:r>
        <w:rPr>
          <w:rFonts w:hint="eastAsia"/>
        </w:rPr>
        <w:t>最高人民法院经审查认为</w:t>
      </w:r>
      <w:r w:rsidR="005C7AD7" w:rsidRPr="002A2A1C">
        <w:rPr>
          <w:rFonts w:hint="eastAsia"/>
        </w:rPr>
        <w:t>原审认定事实</w:t>
      </w:r>
      <w:r w:rsidR="00992150">
        <w:rPr>
          <w:rFonts w:hint="eastAsia"/>
        </w:rPr>
        <w:t>均有充分证据予以证明</w:t>
      </w:r>
      <w:r w:rsidR="000C66BB">
        <w:rPr>
          <w:rFonts w:hint="eastAsia"/>
        </w:rPr>
        <w:t>，</w:t>
      </w:r>
      <w:r w:rsidR="005C7AD7" w:rsidRPr="002A2A1C">
        <w:rPr>
          <w:rFonts w:hint="eastAsia"/>
        </w:rPr>
        <w:t>在经过人民法院严格的司法审查且再审申请人缺乏充分证据证明被诉行政行为违法的情形下</w:t>
      </w:r>
      <w:r w:rsidR="000C66BB">
        <w:rPr>
          <w:rFonts w:hint="eastAsia"/>
        </w:rPr>
        <w:t>，</w:t>
      </w:r>
      <w:r w:rsidR="005C7AD7" w:rsidRPr="002A2A1C">
        <w:rPr>
          <w:rFonts w:hint="eastAsia"/>
        </w:rPr>
        <w:t>原审生效裁判效力应予维持。故裁定驳回儿童投资主基金的再审申请。</w:t>
      </w:r>
    </w:p>
    <w:p w:rsidR="00F50027" w:rsidRDefault="00F50027" w:rsidP="002A2A1C">
      <w:pPr>
        <w:ind w:firstLine="480"/>
        <w:rPr>
          <w:rFonts w:asciiTheme="minorEastAsia" w:hAnsiTheme="minorEastAsia"/>
          <w:bCs/>
          <w:szCs w:val="21"/>
        </w:rPr>
      </w:pPr>
    </w:p>
    <w:p w:rsidR="002B1FFA" w:rsidRPr="002A2A1C" w:rsidRDefault="005E0CEE" w:rsidP="00F50027">
      <w:pPr>
        <w:pStyle w:val="2"/>
        <w:ind w:firstLine="562"/>
      </w:pPr>
      <w:bookmarkStart w:id="15" w:name="_Toc492587012"/>
      <w:r>
        <w:t>3</w:t>
      </w:r>
      <w:r w:rsidR="000F437C" w:rsidRPr="002A2A1C">
        <w:rPr>
          <w:rFonts w:hint="eastAsia"/>
        </w:rPr>
        <w:t>.2</w:t>
      </w:r>
      <w:r w:rsidR="000F437C" w:rsidRPr="002A2A1C">
        <w:rPr>
          <w:rFonts w:hint="eastAsia"/>
        </w:rPr>
        <w:t>儿童投资主基金间接转让股权诉讼争议点</w:t>
      </w:r>
      <w:bookmarkEnd w:id="15"/>
    </w:p>
    <w:p w:rsidR="006C489B" w:rsidRPr="002A2A1C" w:rsidRDefault="006C489B" w:rsidP="00E805BC">
      <w:pPr>
        <w:ind w:firstLine="480"/>
      </w:pPr>
      <w:r w:rsidRPr="002A2A1C">
        <w:rPr>
          <w:rFonts w:hint="eastAsia"/>
        </w:rPr>
        <w:t>在本案中</w:t>
      </w:r>
      <w:r w:rsidR="000C66BB">
        <w:rPr>
          <w:rFonts w:hint="eastAsia"/>
        </w:rPr>
        <w:t>，</w:t>
      </w:r>
      <w:proofErr w:type="gramStart"/>
      <w:r w:rsidR="00C51A70" w:rsidRPr="002A2A1C">
        <w:rPr>
          <w:rFonts w:hint="eastAsia"/>
        </w:rPr>
        <w:t>作出</w:t>
      </w:r>
      <w:proofErr w:type="gramEnd"/>
      <w:r w:rsidRPr="002A2A1C">
        <w:rPr>
          <w:rFonts w:hint="eastAsia"/>
        </w:rPr>
        <w:t>征税决定的核心是《企业所得税法》第四十七条一般反避税条款</w:t>
      </w:r>
      <w:r w:rsidR="000C66BB">
        <w:rPr>
          <w:rFonts w:hint="eastAsia"/>
        </w:rPr>
        <w:t>，</w:t>
      </w:r>
      <w:r w:rsidRPr="002A2A1C">
        <w:rPr>
          <w:rFonts w:hint="eastAsia"/>
        </w:rPr>
        <w:t>即“企业实施其他不具有合理商业目的的安排而减少其应纳税收入或者所得额的</w:t>
      </w:r>
      <w:r w:rsidR="000C66BB">
        <w:rPr>
          <w:rFonts w:hint="eastAsia"/>
        </w:rPr>
        <w:t>，</w:t>
      </w:r>
      <w:r w:rsidRPr="002A2A1C">
        <w:rPr>
          <w:rFonts w:hint="eastAsia"/>
        </w:rPr>
        <w:t>税务机关有权按照合理方法调整。”《企业所得税法实施条例》第</w:t>
      </w:r>
      <w:r w:rsidRPr="002A2A1C">
        <w:t>120</w:t>
      </w:r>
      <w:r w:rsidRPr="002A2A1C">
        <w:t>条对四十七条的解释</w:t>
      </w:r>
      <w:r w:rsidR="000C66BB">
        <w:t>，</w:t>
      </w:r>
      <w:r w:rsidRPr="002A2A1C">
        <w:t>即</w:t>
      </w:r>
      <w:r w:rsidRPr="002A2A1C">
        <w:rPr>
          <w:rFonts w:hint="eastAsia"/>
        </w:rPr>
        <w:t>“</w:t>
      </w:r>
      <w:r w:rsidRPr="002A2A1C">
        <w:t>企业所得税法第四十七条所称不具有合理商业目的</w:t>
      </w:r>
      <w:r w:rsidR="000C66BB">
        <w:t>，</w:t>
      </w:r>
      <w:r w:rsidRPr="002A2A1C">
        <w:t>是指以减少、免除或者推迟缴纳税款为主要目的。</w:t>
      </w:r>
      <w:r w:rsidRPr="002A2A1C">
        <w:t>”</w:t>
      </w:r>
    </w:p>
    <w:p w:rsidR="002B1FFA" w:rsidRPr="002A2A1C" w:rsidRDefault="005A5AC6" w:rsidP="00E805BC">
      <w:pPr>
        <w:ind w:firstLine="480"/>
      </w:pPr>
      <w:r w:rsidRPr="002A2A1C">
        <w:rPr>
          <w:rFonts w:hint="eastAsia"/>
        </w:rPr>
        <w:t>本案中适用的</w:t>
      </w:r>
      <w:r w:rsidRPr="002A2A1C">
        <w:t>698</w:t>
      </w:r>
      <w:r w:rsidRPr="002A2A1C">
        <w:t>号文第六条：</w:t>
      </w:r>
      <w:r w:rsidRPr="002A2A1C">
        <w:t>“</w:t>
      </w:r>
      <w:r w:rsidRPr="002A2A1C">
        <w:t>境外投资方</w:t>
      </w:r>
      <w:r w:rsidRPr="002A2A1C">
        <w:t>(</w:t>
      </w:r>
      <w:r w:rsidRPr="002A2A1C">
        <w:t>实际控制方</w:t>
      </w:r>
      <w:r w:rsidRPr="002A2A1C">
        <w:t>)</w:t>
      </w:r>
      <w:r w:rsidRPr="002A2A1C">
        <w:t>通过滥用组织形式等安排间接转让中国居民企业股权</w:t>
      </w:r>
      <w:r w:rsidR="000C66BB">
        <w:t>，</w:t>
      </w:r>
      <w:r w:rsidRPr="002A2A1C">
        <w:t>且不具有合理的商业目的</w:t>
      </w:r>
      <w:r w:rsidR="000C66BB">
        <w:t>，</w:t>
      </w:r>
      <w:r w:rsidRPr="002A2A1C">
        <w:t>规避企业所得税纳税义务的</w:t>
      </w:r>
      <w:r w:rsidR="000C66BB">
        <w:t>，</w:t>
      </w:r>
      <w:r w:rsidRPr="002A2A1C">
        <w:t>主管税务机关层报税务总局审核后可以按照经济实质对该股权转</w:t>
      </w:r>
      <w:r w:rsidRPr="002A2A1C">
        <w:lastRenderedPageBreak/>
        <w:t>让交易重新定性</w:t>
      </w:r>
      <w:r w:rsidR="000C66BB">
        <w:t>，</w:t>
      </w:r>
      <w:r w:rsidRPr="002A2A1C">
        <w:t>否定被用作税收安排的境外控股公司的存在。</w:t>
      </w:r>
      <w:r w:rsidRPr="002A2A1C">
        <w:t>”</w:t>
      </w:r>
    </w:p>
    <w:p w:rsidR="006C489B" w:rsidRPr="002A2A1C" w:rsidRDefault="00992150" w:rsidP="00E805BC">
      <w:pPr>
        <w:ind w:firstLine="480"/>
      </w:pPr>
      <w:r>
        <w:rPr>
          <w:rFonts w:hint="eastAsia"/>
        </w:rPr>
        <w:t>因此</w:t>
      </w:r>
      <w:r w:rsidR="000C66BB">
        <w:rPr>
          <w:rFonts w:hint="eastAsia"/>
        </w:rPr>
        <w:t>，</w:t>
      </w:r>
      <w:r w:rsidR="006C489B" w:rsidRPr="002A2A1C">
        <w:t>TCI</w:t>
      </w:r>
      <w:r w:rsidR="006C489B" w:rsidRPr="002A2A1C">
        <w:rPr>
          <w:rFonts w:hint="eastAsia"/>
        </w:rPr>
        <w:t>公司</w:t>
      </w:r>
      <w:r>
        <w:t>和西湖区国税局</w:t>
      </w:r>
      <w:r w:rsidR="000C66BB">
        <w:t>，</w:t>
      </w:r>
      <w:r>
        <w:t>主要</w:t>
      </w:r>
      <w:r>
        <w:rPr>
          <w:rFonts w:hint="eastAsia"/>
        </w:rPr>
        <w:t>从以下</w:t>
      </w:r>
      <w:r w:rsidR="006C489B" w:rsidRPr="002A2A1C">
        <w:t>三个方面争点展开的交锋。</w:t>
      </w:r>
    </w:p>
    <w:p w:rsidR="002B1FFA" w:rsidRPr="002A2A1C" w:rsidRDefault="00052408" w:rsidP="00E805BC">
      <w:pPr>
        <w:ind w:firstLine="480"/>
      </w:pPr>
      <w:r>
        <w:rPr>
          <w:rFonts w:hint="eastAsia"/>
        </w:rPr>
        <w:t>一、</w:t>
      </w:r>
      <w:r w:rsidR="00410981" w:rsidRPr="002A2A1C">
        <w:rPr>
          <w:rFonts w:hint="eastAsia"/>
        </w:rPr>
        <w:t>中间层公司的是否存在经营实质。</w:t>
      </w:r>
    </w:p>
    <w:p w:rsidR="00992150" w:rsidRDefault="00410981" w:rsidP="00E805BC">
      <w:pPr>
        <w:ind w:firstLine="480"/>
      </w:pPr>
      <w:r w:rsidRPr="002A2A1C">
        <w:rPr>
          <w:rFonts w:hint="eastAsia"/>
        </w:rPr>
        <w:t>税局方面认为</w:t>
      </w:r>
      <w:r w:rsidR="000C66BB">
        <w:rPr>
          <w:rFonts w:hint="eastAsia"/>
        </w:rPr>
        <w:t>，</w:t>
      </w:r>
      <w:r w:rsidRPr="002A2A1C">
        <w:t>CFC</w:t>
      </w:r>
      <w:r w:rsidRPr="002A2A1C">
        <w:rPr>
          <w:rFonts w:hint="eastAsia"/>
        </w:rPr>
        <w:t>公司</w:t>
      </w:r>
      <w:r w:rsidRPr="002A2A1C">
        <w:t>和</w:t>
      </w:r>
      <w:r w:rsidRPr="002A2A1C">
        <w:rPr>
          <w:rFonts w:hint="eastAsia"/>
        </w:rPr>
        <w:t>香港</w:t>
      </w:r>
      <w:r w:rsidRPr="002A2A1C">
        <w:t>国汇</w:t>
      </w:r>
      <w:r w:rsidRPr="002A2A1C">
        <w:rPr>
          <w:rFonts w:hint="eastAsia"/>
        </w:rPr>
        <w:t>公司</w:t>
      </w:r>
      <w:r w:rsidRPr="002A2A1C">
        <w:t>没有实质经营活动</w:t>
      </w:r>
      <w:r w:rsidRPr="002A2A1C">
        <w:rPr>
          <w:rFonts w:hint="eastAsia"/>
        </w:rPr>
        <w:t>。</w:t>
      </w:r>
      <w:r w:rsidRPr="002A2A1C">
        <w:t>证据主要</w:t>
      </w:r>
      <w:r w:rsidR="00E51DD2" w:rsidRPr="002A2A1C">
        <w:rPr>
          <w:rFonts w:hint="eastAsia"/>
        </w:rPr>
        <w:t>是</w:t>
      </w:r>
      <w:r w:rsidRPr="002A2A1C">
        <w:t>CFC</w:t>
      </w:r>
      <w:r w:rsidRPr="002A2A1C">
        <w:rPr>
          <w:rFonts w:hint="eastAsia"/>
        </w:rPr>
        <w:t>公司</w:t>
      </w:r>
      <w:r w:rsidR="00992150">
        <w:t>股东实际出资较少</w:t>
      </w:r>
      <w:r w:rsidR="000C66BB">
        <w:rPr>
          <w:rFonts w:hint="eastAsia"/>
        </w:rPr>
        <w:t>，</w:t>
      </w:r>
      <w:r w:rsidR="00992150">
        <w:t>没有永久性经营设施或人员配备</w:t>
      </w:r>
      <w:r w:rsidR="000C66BB">
        <w:rPr>
          <w:rFonts w:hint="eastAsia"/>
        </w:rPr>
        <w:t>，</w:t>
      </w:r>
      <w:r w:rsidRPr="002A2A1C">
        <w:t>CFC</w:t>
      </w:r>
      <w:r w:rsidRPr="002A2A1C">
        <w:t>公司除了控股香港国汇公司并通过其控股杭州国益路桥公司之外没有其他实质性的经营</w:t>
      </w:r>
      <w:r w:rsidR="000C66BB">
        <w:rPr>
          <w:rFonts w:hint="eastAsia"/>
        </w:rPr>
        <w:t>，</w:t>
      </w:r>
      <w:r w:rsidR="000B526D">
        <w:rPr>
          <w:rFonts w:hint="eastAsia"/>
        </w:rPr>
        <w:t>C</w:t>
      </w:r>
      <w:r w:rsidR="000B526D">
        <w:t>FC</w:t>
      </w:r>
      <w:r w:rsidR="002B1AE7">
        <w:rPr>
          <w:rFonts w:hint="eastAsia"/>
        </w:rPr>
        <w:t>收入主要为经营杭州绕城公路</w:t>
      </w:r>
      <w:r w:rsidR="000B526D">
        <w:rPr>
          <w:rFonts w:hint="eastAsia"/>
        </w:rPr>
        <w:t>收费</w:t>
      </w:r>
      <w:r w:rsidR="000B526D">
        <w:rPr>
          <w:rStyle w:val="a8"/>
          <w:rFonts w:cs="Times New Roman"/>
          <w:color w:val="000000"/>
          <w:kern w:val="0"/>
          <w:szCs w:val="24"/>
        </w:rPr>
        <w:footnoteReference w:id="6"/>
      </w:r>
      <w:r w:rsidR="000B526D">
        <w:rPr>
          <w:rFonts w:hint="eastAsia"/>
        </w:rPr>
        <w:t>。</w:t>
      </w:r>
    </w:p>
    <w:p w:rsidR="003E23CD" w:rsidRPr="002A2A1C" w:rsidRDefault="00410981" w:rsidP="00E805BC">
      <w:pPr>
        <w:ind w:firstLine="480"/>
      </w:pPr>
      <w:r w:rsidRPr="002A2A1C">
        <w:t>TCI</w:t>
      </w:r>
      <w:r w:rsidR="00D11BB2" w:rsidRPr="002A2A1C">
        <w:rPr>
          <w:rFonts w:hint="eastAsia"/>
        </w:rPr>
        <w:t>公司</w:t>
      </w:r>
      <w:r w:rsidRPr="002A2A1C">
        <w:t>认为这并不能证明</w:t>
      </w:r>
      <w:r w:rsidR="00AA0174">
        <w:rPr>
          <w:rFonts w:hint="eastAsia"/>
        </w:rPr>
        <w:t>“</w:t>
      </w:r>
      <w:r w:rsidR="00AA0174" w:rsidRPr="00AA0174">
        <w:rPr>
          <w:rFonts w:hint="eastAsia"/>
        </w:rPr>
        <w:t>滥用组织形式</w:t>
      </w:r>
      <w:r w:rsidR="00AA0174">
        <w:rPr>
          <w:rFonts w:hint="eastAsia"/>
        </w:rPr>
        <w:t>”</w:t>
      </w:r>
      <w:r w:rsidRPr="002A2A1C">
        <w:rPr>
          <w:rFonts w:hint="eastAsia"/>
        </w:rPr>
        <w:t>。</w:t>
      </w:r>
      <w:r w:rsidR="00862933" w:rsidRPr="002A2A1C">
        <w:rPr>
          <w:rFonts w:hint="eastAsia"/>
        </w:rPr>
        <w:t>香港国汇公司和</w:t>
      </w:r>
      <w:r w:rsidR="00862933" w:rsidRPr="002A2A1C">
        <w:t>CFC</w:t>
      </w:r>
      <w:r w:rsidR="00862933" w:rsidRPr="002A2A1C">
        <w:t>公司从事的投资股权、发行债权、管理股权、债权的业务活动</w:t>
      </w:r>
      <w:r w:rsidR="000C66BB">
        <w:t>，</w:t>
      </w:r>
      <w:r w:rsidR="00862933" w:rsidRPr="002A2A1C">
        <w:t>属于实质性的经营活动</w:t>
      </w:r>
      <w:r w:rsidR="00D11BB2" w:rsidRPr="002A2A1C">
        <w:rPr>
          <w:rFonts w:hint="eastAsia"/>
        </w:rPr>
        <w:t>。</w:t>
      </w:r>
      <w:r w:rsidR="003E23CD" w:rsidRPr="002A2A1C">
        <w:t>并</w:t>
      </w:r>
      <w:r w:rsidR="003E23CD" w:rsidRPr="002A2A1C">
        <w:rPr>
          <w:rFonts w:hint="eastAsia"/>
        </w:rPr>
        <w:t>且</w:t>
      </w:r>
      <w:r w:rsidR="000C66BB">
        <w:rPr>
          <w:rFonts w:hint="eastAsia"/>
        </w:rPr>
        <w:t>，</w:t>
      </w:r>
      <w:r w:rsidRPr="002A2A1C">
        <w:t>中间层</w:t>
      </w:r>
      <w:r w:rsidR="00D11BB2" w:rsidRPr="002A2A1C">
        <w:rPr>
          <w:rFonts w:hint="eastAsia"/>
        </w:rPr>
        <w:t>公司</w:t>
      </w:r>
      <w:r w:rsidRPr="002A2A1C">
        <w:t>设立时间较早且远早于交易发生时间</w:t>
      </w:r>
      <w:r w:rsidR="000C66BB">
        <w:rPr>
          <w:rFonts w:hint="eastAsia"/>
        </w:rPr>
        <w:t>，</w:t>
      </w:r>
      <w:r w:rsidRPr="002A2A1C">
        <w:t>香港国汇</w:t>
      </w:r>
      <w:r w:rsidRPr="002A2A1C">
        <w:rPr>
          <w:rFonts w:hint="eastAsia"/>
        </w:rPr>
        <w:t>公司</w:t>
      </w:r>
      <w:r w:rsidRPr="002A2A1C">
        <w:t>2004</w:t>
      </w:r>
      <w:r w:rsidRPr="002A2A1C">
        <w:t>年前</w:t>
      </w:r>
      <w:r w:rsidR="00862933" w:rsidRPr="002A2A1C">
        <w:rPr>
          <w:rFonts w:hint="eastAsia"/>
        </w:rPr>
        <w:t>进行</w:t>
      </w:r>
      <w:r w:rsidRPr="002A2A1C">
        <w:t>房地产经营活动</w:t>
      </w:r>
      <w:r w:rsidR="000C66BB">
        <w:rPr>
          <w:rFonts w:hint="eastAsia"/>
        </w:rPr>
        <w:t>，</w:t>
      </w:r>
      <w:r w:rsidR="009B21D7">
        <w:rPr>
          <w:rFonts w:hint="eastAsia"/>
        </w:rPr>
        <w:t>其设立不以避税为主要目的</w:t>
      </w:r>
      <w:r w:rsidR="00992150">
        <w:rPr>
          <w:rFonts w:hint="eastAsia"/>
        </w:rPr>
        <w:t>。</w:t>
      </w:r>
    </w:p>
    <w:p w:rsidR="002B1FFA" w:rsidRPr="002A2A1C" w:rsidRDefault="00052408" w:rsidP="00E805BC">
      <w:pPr>
        <w:ind w:firstLine="480"/>
      </w:pPr>
      <w:r>
        <w:rPr>
          <w:rFonts w:hint="eastAsia"/>
        </w:rPr>
        <w:t>二、</w:t>
      </w:r>
      <w:r w:rsidR="004D57CD" w:rsidRPr="002A2A1C">
        <w:rPr>
          <w:rFonts w:hint="eastAsia"/>
        </w:rPr>
        <w:t>交易标的实质是否为境</w:t>
      </w:r>
      <w:proofErr w:type="gramStart"/>
      <w:r w:rsidR="004D57CD" w:rsidRPr="002A2A1C">
        <w:rPr>
          <w:rFonts w:hint="eastAsia"/>
        </w:rPr>
        <w:t>内应税</w:t>
      </w:r>
      <w:proofErr w:type="gramEnd"/>
      <w:r w:rsidR="004D57CD" w:rsidRPr="002A2A1C">
        <w:rPr>
          <w:rFonts w:hint="eastAsia"/>
        </w:rPr>
        <w:t>财产。</w:t>
      </w:r>
    </w:p>
    <w:p w:rsidR="00992150" w:rsidRDefault="004D57CD" w:rsidP="00E805BC">
      <w:pPr>
        <w:ind w:firstLine="480"/>
      </w:pPr>
      <w:r w:rsidRPr="002A2A1C">
        <w:rPr>
          <w:rFonts w:hint="eastAsia"/>
        </w:rPr>
        <w:t>税局方面认为</w:t>
      </w:r>
      <w:r w:rsidR="000C66BB">
        <w:rPr>
          <w:rFonts w:hint="eastAsia"/>
        </w:rPr>
        <w:t>，</w:t>
      </w:r>
      <w:r w:rsidRPr="002A2A1C">
        <w:rPr>
          <w:rFonts w:hint="eastAsia"/>
        </w:rPr>
        <w:t>通过估值报告可证明股权交易基于对杭州国益路桥公司营运能力的估价</w:t>
      </w:r>
      <w:r w:rsidR="00FF53D4">
        <w:rPr>
          <w:rStyle w:val="a8"/>
          <w:rFonts w:cs="Times New Roman"/>
          <w:color w:val="000000"/>
          <w:kern w:val="0"/>
          <w:szCs w:val="24"/>
        </w:rPr>
        <w:footnoteReference w:id="7"/>
      </w:r>
      <w:r w:rsidRPr="002A2A1C">
        <w:rPr>
          <w:rFonts w:hint="eastAsia"/>
        </w:rPr>
        <w:t>。</w:t>
      </w:r>
      <w:r w:rsidR="00992150">
        <w:rPr>
          <w:rFonts w:hint="eastAsia"/>
        </w:rPr>
        <w:t>而</w:t>
      </w:r>
      <w:r w:rsidRPr="002A2A1C">
        <w:t>TCI</w:t>
      </w:r>
      <w:r w:rsidR="00362F03" w:rsidRPr="002A2A1C">
        <w:rPr>
          <w:rFonts w:hint="eastAsia"/>
        </w:rPr>
        <w:t>公司</w:t>
      </w:r>
      <w:r w:rsidR="00862933" w:rsidRPr="002A2A1C">
        <w:rPr>
          <w:rFonts w:hint="eastAsia"/>
        </w:rPr>
        <w:t>称对杭州国益路桥公司的估值</w:t>
      </w:r>
      <w:r w:rsidR="000C66BB">
        <w:rPr>
          <w:rFonts w:hint="eastAsia"/>
        </w:rPr>
        <w:t>，</w:t>
      </w:r>
      <w:r w:rsidR="00862933" w:rsidRPr="002A2A1C">
        <w:rPr>
          <w:rFonts w:hint="eastAsia"/>
        </w:rPr>
        <w:t>只是</w:t>
      </w:r>
      <w:r w:rsidR="00992150">
        <w:rPr>
          <w:rFonts w:hint="eastAsia"/>
        </w:rPr>
        <w:t>股权转让估值中的某一个因素。</w:t>
      </w:r>
    </w:p>
    <w:p w:rsidR="002B1FFA" w:rsidRPr="002A2A1C" w:rsidRDefault="00052408" w:rsidP="00E805BC">
      <w:pPr>
        <w:ind w:firstLine="480"/>
      </w:pPr>
      <w:r>
        <w:rPr>
          <w:rFonts w:hint="eastAsia"/>
        </w:rPr>
        <w:t>三、</w:t>
      </w:r>
      <w:r w:rsidR="004D57CD" w:rsidRPr="002A2A1C">
        <w:rPr>
          <w:rFonts w:hint="eastAsia"/>
        </w:rPr>
        <w:t>交易目的实质是否属于合理商业目的。</w:t>
      </w:r>
    </w:p>
    <w:p w:rsidR="002B1FFA" w:rsidRPr="002A2A1C" w:rsidRDefault="003E23CD" w:rsidP="00E805BC">
      <w:pPr>
        <w:ind w:firstLine="480"/>
      </w:pPr>
      <w:r w:rsidRPr="002A2A1C">
        <w:rPr>
          <w:rFonts w:hint="eastAsia"/>
        </w:rPr>
        <w:t>税局方面认为</w:t>
      </w:r>
      <w:r w:rsidR="000C66BB">
        <w:rPr>
          <w:rFonts w:hint="eastAsia"/>
        </w:rPr>
        <w:t>，</w:t>
      </w:r>
      <w:r w:rsidRPr="002A2A1C">
        <w:rPr>
          <w:rFonts w:hint="eastAsia"/>
        </w:rPr>
        <w:t>通过受让方新创建集团的公开披露证明</w:t>
      </w:r>
      <w:r w:rsidR="000C66BB">
        <w:rPr>
          <w:rFonts w:hint="eastAsia"/>
        </w:rPr>
        <w:t>，</w:t>
      </w:r>
      <w:r w:rsidRPr="002A2A1C">
        <w:rPr>
          <w:rFonts w:hint="eastAsia"/>
        </w:rPr>
        <w:t>交易目的就是浙江国益路桥拥有的杭州绕城高速的特许经营权</w:t>
      </w:r>
      <w:r w:rsidR="002A7829">
        <w:rPr>
          <w:rStyle w:val="a8"/>
          <w:rFonts w:cs="Times New Roman"/>
          <w:color w:val="000000"/>
          <w:kern w:val="0"/>
          <w:szCs w:val="24"/>
        </w:rPr>
        <w:footnoteReference w:id="8"/>
      </w:r>
      <w:r w:rsidR="000C66BB">
        <w:rPr>
          <w:rFonts w:hint="eastAsia"/>
        </w:rPr>
        <w:t>，</w:t>
      </w:r>
      <w:r w:rsidRPr="002A2A1C">
        <w:rPr>
          <w:rFonts w:hint="eastAsia"/>
        </w:rPr>
        <w:t>结合前面两点证明这一安排主要目的是规避中国企业所得税。</w:t>
      </w:r>
    </w:p>
    <w:p w:rsidR="006070AD" w:rsidRDefault="003E23CD" w:rsidP="00E805BC">
      <w:pPr>
        <w:ind w:firstLine="480"/>
      </w:pPr>
      <w:r w:rsidRPr="002A2A1C">
        <w:t>TCI</w:t>
      </w:r>
      <w:r w:rsidRPr="002A2A1C">
        <w:rPr>
          <w:rFonts w:hint="eastAsia"/>
        </w:rPr>
        <w:t>公司</w:t>
      </w:r>
      <w:r w:rsidR="00862933" w:rsidRPr="002A2A1C">
        <w:rPr>
          <w:rFonts w:hint="eastAsia"/>
        </w:rPr>
        <w:t>认为</w:t>
      </w:r>
      <w:r w:rsidR="00862933" w:rsidRPr="002A2A1C">
        <w:t>只有同时符合以下三个条件</w:t>
      </w:r>
      <w:r w:rsidR="000C66BB">
        <w:t>，</w:t>
      </w:r>
      <w:r w:rsidR="00862933" w:rsidRPr="002A2A1C">
        <w:t>税务机关才可以对上诉人转让</w:t>
      </w:r>
      <w:r w:rsidR="00862933" w:rsidRPr="002A2A1C">
        <w:t>CFC</w:t>
      </w:r>
      <w:r w:rsidR="00862933" w:rsidRPr="002A2A1C">
        <w:t>公司股权的行为重新定性</w:t>
      </w:r>
      <w:r w:rsidR="000C66BB">
        <w:t>，</w:t>
      </w:r>
      <w:r w:rsidR="00862933" w:rsidRPr="002A2A1C">
        <w:t>否定被用作税收安排的</w:t>
      </w:r>
      <w:r w:rsidR="00862933" w:rsidRPr="002A2A1C">
        <w:t>CFC</w:t>
      </w:r>
      <w:r w:rsidR="00862933" w:rsidRPr="002A2A1C">
        <w:t>公司和香港国汇公司的存在：</w:t>
      </w:r>
    </w:p>
    <w:p w:rsidR="006070AD" w:rsidRDefault="00862933" w:rsidP="00E805BC">
      <w:pPr>
        <w:ind w:firstLine="480"/>
      </w:pPr>
      <w:r w:rsidRPr="002A2A1C">
        <w:rPr>
          <w:rFonts w:hint="eastAsia"/>
        </w:rPr>
        <w:t>（</w:t>
      </w:r>
      <w:r w:rsidRPr="002A2A1C">
        <w:rPr>
          <w:rFonts w:hint="eastAsia"/>
        </w:rPr>
        <w:t>1</w:t>
      </w:r>
      <w:r w:rsidRPr="002A2A1C">
        <w:rPr>
          <w:rFonts w:hint="eastAsia"/>
        </w:rPr>
        <w:t>）</w:t>
      </w:r>
      <w:r w:rsidRPr="002A2A1C">
        <w:rPr>
          <w:rFonts w:hint="eastAsia"/>
        </w:rPr>
        <w:t>T</w:t>
      </w:r>
      <w:r w:rsidRPr="002A2A1C">
        <w:t>CI</w:t>
      </w:r>
      <w:r w:rsidRPr="002A2A1C">
        <w:rPr>
          <w:rFonts w:hint="eastAsia"/>
        </w:rPr>
        <w:t>公司</w:t>
      </w:r>
      <w:r w:rsidRPr="002A2A1C">
        <w:t>规划了滥用组织形式等安排间接转让了杭州国益路桥公司的股权；</w:t>
      </w:r>
    </w:p>
    <w:p w:rsidR="006070AD" w:rsidRDefault="00862933" w:rsidP="00E805BC">
      <w:pPr>
        <w:ind w:firstLine="480"/>
      </w:pPr>
      <w:r w:rsidRPr="002A2A1C">
        <w:t>（</w:t>
      </w:r>
      <w:r w:rsidRPr="002A2A1C">
        <w:t>2</w:t>
      </w:r>
      <w:r w:rsidRPr="002A2A1C">
        <w:t>）</w:t>
      </w:r>
      <w:r w:rsidRPr="002A2A1C">
        <w:rPr>
          <w:rFonts w:hint="eastAsia"/>
        </w:rPr>
        <w:t>T</w:t>
      </w:r>
      <w:r w:rsidRPr="002A2A1C">
        <w:t>CI</w:t>
      </w:r>
      <w:r w:rsidRPr="002A2A1C">
        <w:rPr>
          <w:rFonts w:hint="eastAsia"/>
        </w:rPr>
        <w:t>公司</w:t>
      </w:r>
      <w:r w:rsidRPr="002A2A1C">
        <w:t>从该等安排中获得了税收利益；</w:t>
      </w:r>
    </w:p>
    <w:p w:rsidR="006070AD" w:rsidRDefault="00862933" w:rsidP="00E805BC">
      <w:pPr>
        <w:ind w:firstLine="480"/>
      </w:pPr>
      <w:r w:rsidRPr="002A2A1C">
        <w:t>（</w:t>
      </w:r>
      <w:r w:rsidRPr="002A2A1C">
        <w:t>3</w:t>
      </w:r>
      <w:r w:rsidRPr="002A2A1C">
        <w:t>）</w:t>
      </w:r>
      <w:r w:rsidRPr="002A2A1C">
        <w:rPr>
          <w:rFonts w:hint="eastAsia"/>
        </w:rPr>
        <w:t>T</w:t>
      </w:r>
      <w:r w:rsidRPr="002A2A1C">
        <w:t>CI</w:t>
      </w:r>
      <w:r w:rsidRPr="002A2A1C">
        <w:rPr>
          <w:rFonts w:hint="eastAsia"/>
        </w:rPr>
        <w:t>公司</w:t>
      </w:r>
      <w:r w:rsidRPr="002A2A1C">
        <w:t>获取税</w:t>
      </w:r>
      <w:r w:rsidRPr="002A2A1C">
        <w:rPr>
          <w:rFonts w:hint="eastAsia"/>
        </w:rPr>
        <w:t>收利益是该等安排的主要目的。</w:t>
      </w:r>
    </w:p>
    <w:p w:rsidR="0050582D" w:rsidRPr="002A2A1C" w:rsidRDefault="00862933" w:rsidP="00E805BC">
      <w:pPr>
        <w:ind w:firstLine="480"/>
      </w:pPr>
      <w:r w:rsidRPr="002A2A1C">
        <w:rPr>
          <w:rFonts w:hint="eastAsia"/>
        </w:rPr>
        <w:t>但是</w:t>
      </w:r>
      <w:r w:rsidRPr="002A2A1C">
        <w:rPr>
          <w:rFonts w:hint="eastAsia"/>
        </w:rPr>
        <w:t>T</w:t>
      </w:r>
      <w:r w:rsidRPr="002A2A1C">
        <w:t>CI</w:t>
      </w:r>
      <w:r w:rsidRPr="002A2A1C">
        <w:rPr>
          <w:rFonts w:hint="eastAsia"/>
        </w:rPr>
        <w:t>公司间接转让股权交易不是一个法律交易行为</w:t>
      </w:r>
      <w:r w:rsidR="000C66BB">
        <w:rPr>
          <w:rFonts w:hint="eastAsia"/>
        </w:rPr>
        <w:t>，</w:t>
      </w:r>
      <w:r w:rsidRPr="002A2A1C">
        <w:rPr>
          <w:rFonts w:hint="eastAsia"/>
        </w:rPr>
        <w:t>而是一个事实后果。其次</w:t>
      </w:r>
      <w:r w:rsidR="000C66BB">
        <w:rPr>
          <w:rFonts w:hint="eastAsia"/>
        </w:rPr>
        <w:t>，</w:t>
      </w:r>
      <w:r w:rsidR="00362F03" w:rsidRPr="002A2A1C">
        <w:rPr>
          <w:rFonts w:hint="eastAsia"/>
        </w:rPr>
        <w:t>T</w:t>
      </w:r>
      <w:r w:rsidR="00362F03" w:rsidRPr="002A2A1C">
        <w:t>CI</w:t>
      </w:r>
      <w:r w:rsidR="00362F03" w:rsidRPr="002A2A1C">
        <w:rPr>
          <w:rFonts w:hint="eastAsia"/>
        </w:rPr>
        <w:t>公司</w:t>
      </w:r>
      <w:r w:rsidRPr="002A2A1C">
        <w:rPr>
          <w:rFonts w:hint="eastAsia"/>
        </w:rPr>
        <w:t>转让</w:t>
      </w:r>
      <w:r w:rsidR="00992150">
        <w:rPr>
          <w:rFonts w:hint="eastAsia"/>
        </w:rPr>
        <w:t>股权</w:t>
      </w:r>
      <w:r w:rsidRPr="002A2A1C">
        <w:rPr>
          <w:rFonts w:hint="eastAsia"/>
        </w:rPr>
        <w:t>的目的不是为了获取税收利益</w:t>
      </w:r>
      <w:r w:rsidR="000C66BB">
        <w:rPr>
          <w:rFonts w:hint="eastAsia"/>
        </w:rPr>
        <w:t>，</w:t>
      </w:r>
      <w:r w:rsidRPr="002A2A1C">
        <w:rPr>
          <w:rFonts w:hint="eastAsia"/>
        </w:rPr>
        <w:t>而是为了实现股权转让收益</w:t>
      </w:r>
      <w:proofErr w:type="gramStart"/>
      <w:r w:rsidRPr="002A2A1C">
        <w:rPr>
          <w:rFonts w:hint="eastAsia"/>
        </w:rPr>
        <w:t>作出</w:t>
      </w:r>
      <w:proofErr w:type="gramEnd"/>
      <w:r w:rsidRPr="002A2A1C">
        <w:rPr>
          <w:rFonts w:hint="eastAsia"/>
        </w:rPr>
        <w:t>的其法律上唯一允许且商业合理的行为。</w:t>
      </w:r>
      <w:r w:rsidR="00992150">
        <w:rPr>
          <w:rFonts w:hint="eastAsia"/>
        </w:rPr>
        <w:t>由于</w:t>
      </w:r>
      <w:r w:rsidR="003E23CD" w:rsidRPr="002A2A1C">
        <w:t>CFC</w:t>
      </w:r>
      <w:r w:rsidR="00362F03" w:rsidRPr="002A2A1C">
        <w:t>公司将其持有的香港国汇公司股权抵押</w:t>
      </w:r>
      <w:r w:rsidR="000C66BB">
        <w:t>，</w:t>
      </w:r>
      <w:r w:rsidR="00362F03" w:rsidRPr="002A2A1C">
        <w:t>该</w:t>
      </w:r>
      <w:r w:rsidR="003E23CD" w:rsidRPr="002A2A1C">
        <w:t>股权不得再行办理抵押亦不得再行转让</w:t>
      </w:r>
      <w:r w:rsidR="000C66BB">
        <w:rPr>
          <w:rFonts w:hint="eastAsia"/>
        </w:rPr>
        <w:t>，</w:t>
      </w:r>
      <w:r w:rsidR="003E23CD" w:rsidRPr="002A2A1C">
        <w:t>政府部门</w:t>
      </w:r>
      <w:r w:rsidR="003E23CD" w:rsidRPr="002A2A1C">
        <w:lastRenderedPageBreak/>
        <w:t>批复杭州绕城经营权对投资方股权转让的</w:t>
      </w:r>
      <w:r w:rsidR="003E23CD" w:rsidRPr="002A2A1C">
        <w:rPr>
          <w:rFonts w:hint="eastAsia"/>
        </w:rPr>
        <w:t>限制</w:t>
      </w:r>
      <w:r w:rsidR="000C66BB">
        <w:rPr>
          <w:rFonts w:hint="eastAsia"/>
        </w:rPr>
        <w:t>，</w:t>
      </w:r>
      <w:r w:rsidR="003E23CD" w:rsidRPr="002A2A1C">
        <w:t>国益路桥小股东对</w:t>
      </w:r>
      <w:proofErr w:type="gramStart"/>
      <w:r w:rsidR="003E23CD" w:rsidRPr="002A2A1C">
        <w:t>香港国汇股权</w:t>
      </w:r>
      <w:proofErr w:type="gramEnd"/>
      <w:r w:rsidR="003E23CD" w:rsidRPr="002A2A1C">
        <w:t>转让权利的限制等</w:t>
      </w:r>
      <w:r w:rsidR="00D71FC3">
        <w:rPr>
          <w:rFonts w:hint="eastAsia"/>
        </w:rPr>
        <w:t>因素</w:t>
      </w:r>
      <w:r w:rsidR="000C66BB">
        <w:rPr>
          <w:rFonts w:hint="eastAsia"/>
        </w:rPr>
        <w:t>，</w:t>
      </w:r>
      <w:r w:rsidR="00F10AD6" w:rsidRPr="002A2A1C">
        <w:rPr>
          <w:rFonts w:hint="eastAsia"/>
        </w:rPr>
        <w:t>转让</w:t>
      </w:r>
      <w:proofErr w:type="spellStart"/>
      <w:r w:rsidR="00F10AD6" w:rsidRPr="002A2A1C">
        <w:rPr>
          <w:rFonts w:hint="eastAsia"/>
        </w:rPr>
        <w:t>CFC</w:t>
      </w:r>
      <w:proofErr w:type="spellEnd"/>
      <w:r w:rsidR="00F10AD6" w:rsidRPr="002A2A1C">
        <w:rPr>
          <w:rFonts w:hint="eastAsia"/>
        </w:rPr>
        <w:t>公司商业成本小</w:t>
      </w:r>
      <w:r w:rsidR="000C66BB">
        <w:rPr>
          <w:rFonts w:hint="eastAsia"/>
        </w:rPr>
        <w:t>，</w:t>
      </w:r>
      <w:r w:rsidR="00F10AD6" w:rsidRPr="002A2A1C">
        <w:rPr>
          <w:rFonts w:hint="eastAsia"/>
        </w:rPr>
        <w:t>更具商业合理性</w:t>
      </w:r>
      <w:r w:rsidR="0047330E" w:rsidRPr="002A2A1C">
        <w:rPr>
          <w:rFonts w:hint="eastAsia"/>
        </w:rPr>
        <w:t>。</w:t>
      </w:r>
    </w:p>
    <w:p w:rsidR="00C51A70" w:rsidRDefault="00C51A70" w:rsidP="00E805BC">
      <w:pPr>
        <w:ind w:firstLine="480"/>
      </w:pPr>
      <w:r w:rsidRPr="002A2A1C">
        <w:rPr>
          <w:rFonts w:hint="eastAsia"/>
        </w:rPr>
        <w:t>最高</w:t>
      </w:r>
      <w:proofErr w:type="gramStart"/>
      <w:r w:rsidRPr="002A2A1C">
        <w:rPr>
          <w:rFonts w:hint="eastAsia"/>
        </w:rPr>
        <w:t>法在此</w:t>
      </w:r>
      <w:proofErr w:type="gramEnd"/>
      <w:r w:rsidRPr="002A2A1C">
        <w:rPr>
          <w:rFonts w:hint="eastAsia"/>
        </w:rPr>
        <w:t>裁决个案中</w:t>
      </w:r>
      <w:r w:rsidR="000C66BB">
        <w:rPr>
          <w:rFonts w:hint="eastAsia"/>
        </w:rPr>
        <w:t>，</w:t>
      </w:r>
      <w:r w:rsidRPr="002A2A1C">
        <w:rPr>
          <w:rFonts w:hint="eastAsia"/>
        </w:rPr>
        <w:t>认定</w:t>
      </w:r>
      <w:r w:rsidRPr="002A2A1C">
        <w:t>TCI</w:t>
      </w:r>
      <w:r w:rsidRPr="002A2A1C">
        <w:rPr>
          <w:rFonts w:hint="eastAsia"/>
        </w:rPr>
        <w:t>公司</w:t>
      </w:r>
      <w:r w:rsidRPr="002A2A1C">
        <w:t>提出证据的证明力</w:t>
      </w:r>
      <w:r w:rsidR="000C66BB">
        <w:t>，</w:t>
      </w:r>
      <w:r w:rsidRPr="002A2A1C">
        <w:t>弱于税局方面证据的证明力。最高法如此表述：</w:t>
      </w:r>
      <w:r w:rsidR="00AA0174">
        <w:rPr>
          <w:rFonts w:hint="eastAsia"/>
        </w:rPr>
        <w:t>“</w:t>
      </w:r>
      <w:r w:rsidR="00AA0174" w:rsidRPr="00AA0174">
        <w:rPr>
          <w:rFonts w:hint="eastAsia"/>
        </w:rPr>
        <w:t>税务机关在原审中所提供的证据的证明力更强，具备相对优势，本院对上述事实予以认可。再审申请人有关香港国汇公司</w:t>
      </w:r>
      <w:r w:rsidR="00AA0174" w:rsidRPr="00AA0174">
        <w:t>2004</w:t>
      </w:r>
      <w:r w:rsidR="00AA0174" w:rsidRPr="00AA0174">
        <w:t>年以前从事房地产投资业务，</w:t>
      </w:r>
      <w:r w:rsidR="00AA0174" w:rsidRPr="00AA0174">
        <w:t>CFC</w:t>
      </w:r>
      <w:r w:rsidR="00AA0174" w:rsidRPr="00AA0174">
        <w:t>公司一直从事投资股权、发行债券、管理股权、债权的业务活动等主张，不足以否定上述事实基础，其所提交的证据证明力不足，本院不予支持。</w:t>
      </w:r>
      <w:r w:rsidR="00AA0174">
        <w:rPr>
          <w:rFonts w:hint="eastAsia"/>
        </w:rPr>
        <w:t>”</w:t>
      </w:r>
    </w:p>
    <w:p w:rsidR="00054E1D" w:rsidRDefault="00054E1D" w:rsidP="002A2A1C">
      <w:pPr>
        <w:ind w:firstLine="480"/>
        <w:rPr>
          <w:rFonts w:cs="Times New Roman"/>
          <w:color w:val="000000"/>
          <w:kern w:val="0"/>
          <w:szCs w:val="24"/>
        </w:rPr>
        <w:sectPr w:rsidR="00054E1D">
          <w:headerReference w:type="default" r:id="rId20"/>
          <w:pgSz w:w="11906" w:h="16838"/>
          <w:pgMar w:top="1440" w:right="1800" w:bottom="1440" w:left="1800" w:header="851" w:footer="992" w:gutter="0"/>
          <w:cols w:space="425"/>
          <w:docGrid w:type="lines" w:linePitch="312"/>
        </w:sectPr>
      </w:pPr>
    </w:p>
    <w:p w:rsidR="00BF3163" w:rsidRPr="002A2A1C" w:rsidRDefault="005E0CEE" w:rsidP="00F50027">
      <w:pPr>
        <w:pStyle w:val="1"/>
        <w:ind w:firstLine="643"/>
      </w:pPr>
      <w:bookmarkStart w:id="16" w:name="_Toc492587013"/>
      <w:r>
        <w:lastRenderedPageBreak/>
        <w:t>4</w:t>
      </w:r>
      <w:r w:rsidR="00BF3163" w:rsidRPr="002A2A1C">
        <w:t xml:space="preserve"> </w:t>
      </w:r>
      <w:r w:rsidR="002F4990" w:rsidRPr="002A2A1C">
        <w:rPr>
          <w:rFonts w:hint="eastAsia"/>
        </w:rPr>
        <w:t>儿童投资主基</w:t>
      </w:r>
      <w:proofErr w:type="gramStart"/>
      <w:r w:rsidR="002F4990" w:rsidRPr="002A2A1C">
        <w:rPr>
          <w:rFonts w:hint="eastAsia"/>
        </w:rPr>
        <w:t>金案</w:t>
      </w:r>
      <w:r w:rsidR="00BD06F4">
        <w:rPr>
          <w:rFonts w:hint="eastAsia"/>
        </w:rPr>
        <w:t>件</w:t>
      </w:r>
      <w:proofErr w:type="gramEnd"/>
      <w:r w:rsidR="009F6643">
        <w:rPr>
          <w:rFonts w:hint="eastAsia"/>
        </w:rPr>
        <w:t>分析</w:t>
      </w:r>
      <w:bookmarkEnd w:id="16"/>
    </w:p>
    <w:p w:rsidR="00C53CCE" w:rsidRPr="002A2A1C" w:rsidRDefault="00C53CCE" w:rsidP="00E805BC">
      <w:pPr>
        <w:ind w:firstLine="480"/>
      </w:pPr>
      <w:r w:rsidRPr="002A2A1C">
        <w:rPr>
          <w:rFonts w:hint="eastAsia"/>
        </w:rPr>
        <w:t>儿童投资</w:t>
      </w:r>
      <w:proofErr w:type="gramStart"/>
      <w:r w:rsidRPr="002A2A1C">
        <w:rPr>
          <w:rFonts w:hint="eastAsia"/>
        </w:rPr>
        <w:t>主基金诉杭州市</w:t>
      </w:r>
      <w:proofErr w:type="gramEnd"/>
      <w:r w:rsidRPr="002A2A1C">
        <w:rPr>
          <w:rFonts w:hint="eastAsia"/>
        </w:rPr>
        <w:t>西湖区国家税务局税务征收案中</w:t>
      </w:r>
      <w:r w:rsidR="000C66BB">
        <w:rPr>
          <w:rFonts w:hint="eastAsia"/>
        </w:rPr>
        <w:t>，</w:t>
      </w:r>
      <w:r w:rsidRPr="002A2A1C">
        <w:rPr>
          <w:rFonts w:hint="eastAsia"/>
        </w:rPr>
        <w:t>TC</w:t>
      </w:r>
      <w:r w:rsidRPr="002A2A1C">
        <w:t>I</w:t>
      </w:r>
      <w:r w:rsidR="000263AC" w:rsidRPr="002A2A1C">
        <w:rPr>
          <w:rFonts w:hint="eastAsia"/>
        </w:rPr>
        <w:t>公司的败诉主要存在以下</w:t>
      </w:r>
      <w:r w:rsidR="00F50027">
        <w:rPr>
          <w:rFonts w:hint="eastAsia"/>
        </w:rPr>
        <w:t>TCI</w:t>
      </w:r>
      <w:r w:rsidR="00F50027">
        <w:rPr>
          <w:rFonts w:hint="eastAsia"/>
        </w:rPr>
        <w:t>公司证据糟糕以及</w:t>
      </w:r>
      <w:r w:rsidR="00F50027" w:rsidRPr="00F50027">
        <w:rPr>
          <w:rFonts w:hint="eastAsia"/>
        </w:rPr>
        <w:t>法律法规对于“实质经营活动”、“合理商业目的”等规定模糊</w:t>
      </w:r>
      <w:r w:rsidR="000263AC" w:rsidRPr="002A2A1C">
        <w:rPr>
          <w:rFonts w:hint="eastAsia"/>
        </w:rPr>
        <w:t>两</w:t>
      </w:r>
      <w:r w:rsidR="00421E26">
        <w:rPr>
          <w:rFonts w:hint="eastAsia"/>
        </w:rPr>
        <w:t>方面的原因。</w:t>
      </w:r>
    </w:p>
    <w:p w:rsidR="00421E26" w:rsidRPr="008B67DF" w:rsidRDefault="005E0CEE" w:rsidP="00F50027">
      <w:pPr>
        <w:pStyle w:val="2"/>
        <w:ind w:firstLine="562"/>
      </w:pPr>
      <w:bookmarkStart w:id="17" w:name="_Toc492587014"/>
      <w:r>
        <w:t>4</w:t>
      </w:r>
      <w:r w:rsidR="008B67DF">
        <w:t>.1</w:t>
      </w:r>
      <w:r w:rsidR="008B67DF" w:rsidRPr="008B67DF">
        <w:t xml:space="preserve"> CTI</w:t>
      </w:r>
      <w:r w:rsidR="008B67DF" w:rsidRPr="008B67DF">
        <w:t>公司</w:t>
      </w:r>
      <w:r w:rsidR="00AA0174">
        <w:rPr>
          <w:rFonts w:hint="eastAsia"/>
        </w:rPr>
        <w:t>证据糟糕</w:t>
      </w:r>
      <w:bookmarkEnd w:id="17"/>
    </w:p>
    <w:p w:rsidR="00421E26" w:rsidRPr="00421E26" w:rsidRDefault="00421E26" w:rsidP="00E805BC">
      <w:pPr>
        <w:ind w:firstLine="480"/>
      </w:pPr>
      <w:r w:rsidRPr="00421E26">
        <w:rPr>
          <w:rFonts w:hint="eastAsia"/>
        </w:rPr>
        <w:t>本案</w:t>
      </w:r>
      <w:r w:rsidRPr="00421E26">
        <w:rPr>
          <w:rFonts w:hint="eastAsia"/>
        </w:rPr>
        <w:t>TCI</w:t>
      </w:r>
      <w:r w:rsidRPr="00421E26">
        <w:rPr>
          <w:rFonts w:hint="eastAsia"/>
        </w:rPr>
        <w:t>公司提出辩驳的两个重点分别是：中间层公司具有实质经营活动、交易具有合理的商业目的。并提供了六组证据：</w:t>
      </w:r>
    </w:p>
    <w:p w:rsidR="00421E26" w:rsidRPr="002A2A1C" w:rsidRDefault="00421E26" w:rsidP="00E805BC">
      <w:pPr>
        <w:ind w:firstLine="480"/>
      </w:pPr>
      <w:r w:rsidRPr="002A2A1C">
        <w:rPr>
          <w:rFonts w:hint="eastAsia"/>
        </w:rPr>
        <w:t>第一组证据主要涉及《税务事项通知书》、《行政复议申请书》、《行政复议决定》等</w:t>
      </w:r>
      <w:r w:rsidR="000C66BB">
        <w:rPr>
          <w:rFonts w:hint="eastAsia"/>
        </w:rPr>
        <w:t>，</w:t>
      </w:r>
      <w:r w:rsidRPr="002A2A1C">
        <w:rPr>
          <w:rFonts w:hint="eastAsia"/>
        </w:rPr>
        <w:t>仅对案</w:t>
      </w:r>
      <w:proofErr w:type="gramStart"/>
      <w:r w:rsidRPr="002A2A1C">
        <w:rPr>
          <w:rFonts w:hint="eastAsia"/>
        </w:rPr>
        <w:t>涉事实</w:t>
      </w:r>
      <w:proofErr w:type="gramEnd"/>
      <w:r w:rsidRPr="002A2A1C">
        <w:rPr>
          <w:rFonts w:hint="eastAsia"/>
        </w:rPr>
        <w:t>经过具有证明效力；</w:t>
      </w:r>
    </w:p>
    <w:p w:rsidR="00421E26" w:rsidRPr="002A2A1C" w:rsidRDefault="00421E26" w:rsidP="00E805BC">
      <w:pPr>
        <w:ind w:firstLine="480"/>
      </w:pPr>
      <w:r w:rsidRPr="002A2A1C">
        <w:rPr>
          <w:rFonts w:hint="eastAsia"/>
        </w:rPr>
        <w:t>第二组证据是公司构架图</w:t>
      </w:r>
      <w:r w:rsidR="000C66BB">
        <w:rPr>
          <w:rFonts w:hint="eastAsia"/>
        </w:rPr>
        <w:t>，</w:t>
      </w:r>
      <w:r w:rsidRPr="002A2A1C">
        <w:rPr>
          <w:rFonts w:hint="eastAsia"/>
        </w:rPr>
        <w:t>用来证明本次交易涉及的公司架构</w:t>
      </w:r>
      <w:r w:rsidR="000C66BB">
        <w:rPr>
          <w:rFonts w:hint="eastAsia"/>
        </w:rPr>
        <w:t>，</w:t>
      </w:r>
      <w:r w:rsidRPr="002A2A1C">
        <w:rPr>
          <w:rFonts w:hint="eastAsia"/>
        </w:rPr>
        <w:t>但不属于诉讼证据；</w:t>
      </w:r>
    </w:p>
    <w:p w:rsidR="00421E26" w:rsidRDefault="00421E26" w:rsidP="00E805BC">
      <w:pPr>
        <w:ind w:firstLine="480"/>
      </w:pPr>
      <w:r w:rsidRPr="002A2A1C">
        <w:rPr>
          <w:rFonts w:hint="eastAsia"/>
        </w:rPr>
        <w:t>第三组</w:t>
      </w:r>
      <w:r>
        <w:rPr>
          <w:rFonts w:hint="eastAsia"/>
        </w:rPr>
        <w:t>、第四组</w:t>
      </w:r>
      <w:r w:rsidRPr="002A2A1C">
        <w:rPr>
          <w:rFonts w:hint="eastAsia"/>
        </w:rPr>
        <w:t>证据</w:t>
      </w:r>
      <w:r>
        <w:rPr>
          <w:rFonts w:hint="eastAsia"/>
        </w:rPr>
        <w:t>中</w:t>
      </w:r>
      <w:r w:rsidRPr="002A2A1C">
        <w:t>用来证明香港国汇公司具有实际的经营活动</w:t>
      </w:r>
      <w:r>
        <w:rPr>
          <w:rFonts w:hint="eastAsia"/>
        </w:rPr>
        <w:t>的</w:t>
      </w:r>
      <w:r w:rsidRPr="002A2A1C">
        <w:t>外文书证</w:t>
      </w:r>
      <w:r w:rsidR="000C66BB">
        <w:t>，</w:t>
      </w:r>
      <w:r w:rsidRPr="002A2A1C">
        <w:t>未提供完整的中文翻译文本</w:t>
      </w:r>
      <w:r w:rsidR="000C66BB">
        <w:t>，</w:t>
      </w:r>
      <w:r w:rsidRPr="002A2A1C">
        <w:t>证据形式不合法</w:t>
      </w:r>
      <w:r w:rsidR="000C66BB">
        <w:t>，</w:t>
      </w:r>
      <w:r>
        <w:rPr>
          <w:rFonts w:hint="eastAsia"/>
        </w:rPr>
        <w:t>导致</w:t>
      </w:r>
      <w:r w:rsidRPr="002A2A1C">
        <w:t>法院不予采信。</w:t>
      </w:r>
      <w:r>
        <w:rPr>
          <w:rFonts w:hint="eastAsia"/>
        </w:rPr>
        <w:t>其他证据</w:t>
      </w:r>
      <w:r w:rsidRPr="002A2A1C">
        <w:rPr>
          <w:rFonts w:hint="eastAsia"/>
        </w:rPr>
        <w:t>又无法证明香港国汇公司具有实际的经营活动。</w:t>
      </w:r>
    </w:p>
    <w:p w:rsidR="00421E26" w:rsidRPr="002A2A1C" w:rsidRDefault="00421E26" w:rsidP="00E805BC">
      <w:pPr>
        <w:ind w:firstLine="480"/>
      </w:pPr>
      <w:r w:rsidRPr="002A2A1C">
        <w:rPr>
          <w:rFonts w:hint="eastAsia"/>
        </w:rPr>
        <w:t>第五组证据</w:t>
      </w:r>
      <w:r>
        <w:rPr>
          <w:rFonts w:hint="eastAsia"/>
        </w:rPr>
        <w:t>又</w:t>
      </w:r>
      <w:r>
        <w:t>由于</w:t>
      </w:r>
      <w:r>
        <w:rPr>
          <w:rFonts w:hint="eastAsia"/>
        </w:rPr>
        <w:t>一些证据</w:t>
      </w:r>
      <w:r>
        <w:t>未能说明</w:t>
      </w:r>
      <w:r w:rsidRPr="002A2A1C">
        <w:t>证据与其证明对象的关联</w:t>
      </w:r>
      <w:r w:rsidR="000C66BB">
        <w:rPr>
          <w:rFonts w:hint="eastAsia"/>
        </w:rPr>
        <w:t>，</w:t>
      </w:r>
      <w:r>
        <w:rPr>
          <w:rFonts w:hint="eastAsia"/>
        </w:rPr>
        <w:t>一些证据形式不合法</w:t>
      </w:r>
      <w:r w:rsidR="000C66BB">
        <w:rPr>
          <w:rFonts w:hint="eastAsia"/>
        </w:rPr>
        <w:t>，</w:t>
      </w:r>
      <w:r w:rsidRPr="002A2A1C">
        <w:t>法院</w:t>
      </w:r>
      <w:r>
        <w:rPr>
          <w:rFonts w:hint="eastAsia"/>
        </w:rPr>
        <w:t>均</w:t>
      </w:r>
      <w:r w:rsidRPr="002A2A1C">
        <w:t>不予采信</w:t>
      </w:r>
      <w:r>
        <w:rPr>
          <w:rFonts w:hint="eastAsia"/>
        </w:rPr>
        <w:t>。</w:t>
      </w:r>
    </w:p>
    <w:p w:rsidR="00421E26" w:rsidRPr="002A2A1C" w:rsidRDefault="00421E26" w:rsidP="00E805BC">
      <w:pPr>
        <w:ind w:firstLine="480"/>
      </w:pPr>
      <w:r w:rsidRPr="002A2A1C">
        <w:rPr>
          <w:rFonts w:hint="eastAsia"/>
        </w:rPr>
        <w:t>第六组证据是公证认证文件和翻译机构资质证明。</w:t>
      </w:r>
    </w:p>
    <w:p w:rsidR="00421E26" w:rsidRDefault="00421E26" w:rsidP="00E805BC">
      <w:pPr>
        <w:ind w:firstLine="480"/>
      </w:pPr>
      <w:r>
        <w:rPr>
          <w:rFonts w:hint="eastAsia"/>
        </w:rPr>
        <w:t>可以看到以上的</w:t>
      </w:r>
      <w:r w:rsidRPr="002A2A1C">
        <w:rPr>
          <w:rFonts w:hint="eastAsia"/>
        </w:rPr>
        <w:t>六组证据在上诉中并不能为</w:t>
      </w:r>
      <w:r w:rsidRPr="002A2A1C">
        <w:rPr>
          <w:rFonts w:hint="eastAsia"/>
        </w:rPr>
        <w:t>TCI</w:t>
      </w:r>
      <w:r w:rsidRPr="002A2A1C">
        <w:rPr>
          <w:rFonts w:hint="eastAsia"/>
        </w:rPr>
        <w:t>公司获得胜诉的赢面。</w:t>
      </w:r>
    </w:p>
    <w:p w:rsidR="00F50027" w:rsidRDefault="00F50027" w:rsidP="00421E26">
      <w:pPr>
        <w:ind w:firstLine="480"/>
        <w:rPr>
          <w:rFonts w:cs="Times New Roman"/>
          <w:color w:val="000000"/>
          <w:kern w:val="0"/>
          <w:szCs w:val="24"/>
        </w:rPr>
      </w:pPr>
    </w:p>
    <w:p w:rsidR="008B67DF" w:rsidRDefault="005E0CEE" w:rsidP="00F50027">
      <w:pPr>
        <w:pStyle w:val="2"/>
        <w:ind w:firstLine="562"/>
      </w:pPr>
      <w:bookmarkStart w:id="18" w:name="_Toc492587015"/>
      <w:r>
        <w:t>4</w:t>
      </w:r>
      <w:r w:rsidR="008B67DF">
        <w:t>.2</w:t>
      </w:r>
      <w:r w:rsidR="008B67DF" w:rsidRPr="008B67DF">
        <w:t xml:space="preserve"> </w:t>
      </w:r>
      <w:r w:rsidR="00AA0174">
        <w:rPr>
          <w:rFonts w:hint="eastAsia"/>
        </w:rPr>
        <w:t>法律法规对于“</w:t>
      </w:r>
      <w:r w:rsidR="00AA0174" w:rsidRPr="00AA0174">
        <w:rPr>
          <w:rFonts w:hint="eastAsia"/>
        </w:rPr>
        <w:t>实质经营活动</w:t>
      </w:r>
      <w:r w:rsidR="00AA0174">
        <w:rPr>
          <w:rFonts w:hint="eastAsia"/>
        </w:rPr>
        <w:t>”</w:t>
      </w:r>
      <w:r w:rsidR="008B67DF" w:rsidRPr="008B67DF">
        <w:rPr>
          <w:rFonts w:hint="eastAsia"/>
        </w:rPr>
        <w:t>、“合理商业目的”等规定模糊</w:t>
      </w:r>
      <w:bookmarkEnd w:id="18"/>
    </w:p>
    <w:p w:rsidR="000C66BB" w:rsidRDefault="00B43913" w:rsidP="00E805BC">
      <w:pPr>
        <w:ind w:firstLine="480"/>
      </w:pPr>
      <w:r>
        <w:rPr>
          <w:rFonts w:hint="eastAsia"/>
        </w:rPr>
        <w:t>《企业所得税实施条例》第一百二十条规定了“以减少、免除或者推迟缴</w:t>
      </w:r>
      <w:r w:rsidRPr="00B43913">
        <w:rPr>
          <w:rFonts w:hint="eastAsia"/>
        </w:rPr>
        <w:t>纳税款为主要目的</w:t>
      </w:r>
      <w:r>
        <w:rPr>
          <w:rFonts w:hint="eastAsia"/>
        </w:rPr>
        <w:t>”</w:t>
      </w:r>
      <w:r w:rsidRPr="00B43913">
        <w:rPr>
          <w:rFonts w:hint="eastAsia"/>
        </w:rPr>
        <w:t>则视为不具有合理商业目的。而</w:t>
      </w:r>
      <w:r>
        <w:rPr>
          <w:rFonts w:hint="eastAsia"/>
        </w:rPr>
        <w:t>6</w:t>
      </w:r>
      <w:r>
        <w:t>98</w:t>
      </w:r>
      <w:r>
        <w:rPr>
          <w:rFonts w:hint="eastAsia"/>
        </w:rPr>
        <w:t>号文规定</w:t>
      </w:r>
      <w:r w:rsidR="000C66BB">
        <w:rPr>
          <w:rFonts w:hint="eastAsia"/>
        </w:rPr>
        <w:t>，</w:t>
      </w:r>
      <w:r>
        <w:rPr>
          <w:rFonts w:hint="eastAsia"/>
        </w:rPr>
        <w:t>只有</w:t>
      </w:r>
      <w:r w:rsidRPr="00B43913">
        <w:rPr>
          <w:rFonts w:hint="eastAsia"/>
        </w:rPr>
        <w:t>当被转让的境外</w:t>
      </w:r>
      <w:r>
        <w:rPr>
          <w:rFonts w:hint="eastAsia"/>
        </w:rPr>
        <w:t>控股</w:t>
      </w:r>
      <w:r w:rsidRPr="00B43913">
        <w:rPr>
          <w:rFonts w:hint="eastAsia"/>
        </w:rPr>
        <w:t>公司所在国（地区）实际税负低于</w:t>
      </w:r>
      <w:r>
        <w:rPr>
          <w:rFonts w:hint="eastAsia"/>
        </w:rPr>
        <w:t>1</w:t>
      </w:r>
      <w:r>
        <w:t>2.5%</w:t>
      </w:r>
      <w:r>
        <w:rPr>
          <w:rFonts w:hint="eastAsia"/>
        </w:rPr>
        <w:t>或者对其居民境外所得不</w:t>
      </w:r>
      <w:r w:rsidRPr="00B43913">
        <w:rPr>
          <w:rFonts w:hint="eastAsia"/>
        </w:rPr>
        <w:t>征所得税时</w:t>
      </w:r>
      <w:r w:rsidR="000C66BB">
        <w:rPr>
          <w:rFonts w:hint="eastAsia"/>
        </w:rPr>
        <w:t>，</w:t>
      </w:r>
      <w:r w:rsidRPr="00B43913">
        <w:rPr>
          <w:rFonts w:hint="eastAsia"/>
        </w:rPr>
        <w:t>境外</w:t>
      </w:r>
      <w:r>
        <w:rPr>
          <w:rFonts w:hint="eastAsia"/>
        </w:rPr>
        <w:t>投资方（实际控制方）才有报送义务</w:t>
      </w:r>
      <w:r w:rsidR="000C66BB">
        <w:rPr>
          <w:rFonts w:hint="eastAsia"/>
        </w:rPr>
        <w:t>，</w:t>
      </w:r>
      <w:r>
        <w:rPr>
          <w:rFonts w:hint="eastAsia"/>
        </w:rPr>
        <w:t>其中报送资料中必须包含“境</w:t>
      </w:r>
      <w:r w:rsidRPr="00B43913">
        <w:rPr>
          <w:rFonts w:hint="eastAsia"/>
        </w:rPr>
        <w:t>外控股公司具有合理商业目的的说明</w:t>
      </w:r>
      <w:r>
        <w:rPr>
          <w:rFonts w:hint="eastAsia"/>
        </w:rPr>
        <w:t>”</w:t>
      </w:r>
      <w:r w:rsidR="000C66BB">
        <w:rPr>
          <w:rFonts w:hint="eastAsia"/>
        </w:rPr>
        <w:t>，</w:t>
      </w:r>
      <w:r>
        <w:rPr>
          <w:rFonts w:hint="eastAsia"/>
        </w:rPr>
        <w:t>经过税务机关核查</w:t>
      </w:r>
      <w:r w:rsidR="000C66BB">
        <w:rPr>
          <w:rFonts w:hint="eastAsia"/>
        </w:rPr>
        <w:t>，</w:t>
      </w:r>
      <w:r>
        <w:rPr>
          <w:rFonts w:hint="eastAsia"/>
        </w:rPr>
        <w:t>对于不具有合理商业目的的间接股权转让所得征收企业所得税</w:t>
      </w:r>
      <w:r w:rsidR="000C66BB">
        <w:rPr>
          <w:rFonts w:hint="eastAsia"/>
        </w:rPr>
        <w:t>，</w:t>
      </w:r>
      <w:r>
        <w:rPr>
          <w:rFonts w:hint="eastAsia"/>
        </w:rPr>
        <w:t>反之则不征税。</w:t>
      </w:r>
    </w:p>
    <w:p w:rsidR="000C66BB" w:rsidRDefault="000C66BB" w:rsidP="00E805BC">
      <w:pPr>
        <w:ind w:firstLine="480"/>
      </w:pPr>
      <w:r>
        <w:rPr>
          <w:rFonts w:hint="eastAsia"/>
        </w:rPr>
        <w:t>由税法规定可知，我国在非居民企业股权间接转让征税新</w:t>
      </w:r>
      <w:proofErr w:type="gramStart"/>
      <w:r>
        <w:rPr>
          <w:rFonts w:hint="eastAsia"/>
        </w:rPr>
        <w:t>规</w:t>
      </w:r>
      <w:proofErr w:type="gramEnd"/>
      <w:r>
        <w:rPr>
          <w:rFonts w:hint="eastAsia"/>
        </w:rPr>
        <w:t>出台前，并没有明确界定“合</w:t>
      </w:r>
      <w:r w:rsidRPr="000C66BB">
        <w:rPr>
          <w:rFonts w:hint="eastAsia"/>
        </w:rPr>
        <w:t>理商业目的</w:t>
      </w:r>
      <w:r>
        <w:rPr>
          <w:rFonts w:hint="eastAsia"/>
        </w:rPr>
        <w:t>”</w:t>
      </w:r>
      <w:r w:rsidRPr="000C66BB">
        <w:rPr>
          <w:rFonts w:hint="eastAsia"/>
        </w:rPr>
        <w:t>的概念及其判定标准</w:t>
      </w:r>
      <w:r>
        <w:rPr>
          <w:rFonts w:hint="eastAsia"/>
        </w:rPr>
        <w:t>，这</w:t>
      </w:r>
      <w:r w:rsidRPr="000C66BB">
        <w:rPr>
          <w:rFonts w:hint="eastAsia"/>
        </w:rPr>
        <w:t>使得税务机关在税务处理时</w:t>
      </w:r>
      <w:r>
        <w:rPr>
          <w:rFonts w:hint="eastAsia"/>
        </w:rPr>
        <w:lastRenderedPageBreak/>
        <w:t>往往具有相当的主观性，</w:t>
      </w:r>
      <w:r w:rsidRPr="000C66BB">
        <w:rPr>
          <w:rFonts w:hint="eastAsia"/>
        </w:rPr>
        <w:t>往往对企业股权间</w:t>
      </w:r>
      <w:r>
        <w:rPr>
          <w:rFonts w:hint="eastAsia"/>
        </w:rPr>
        <w:t>接转让模式采取预设避税立场。</w:t>
      </w:r>
    </w:p>
    <w:p w:rsidR="000C66BB" w:rsidRDefault="000C66BB" w:rsidP="00E805BC">
      <w:pPr>
        <w:ind w:firstLine="480"/>
      </w:pPr>
      <w:r>
        <w:rPr>
          <w:rFonts w:hint="eastAsia"/>
        </w:rPr>
        <w:t>然而，除了税收目的外，非居民企业</w:t>
      </w:r>
      <w:r w:rsidRPr="000C66BB">
        <w:rPr>
          <w:rFonts w:hint="eastAsia"/>
        </w:rPr>
        <w:t>股权间接</w:t>
      </w:r>
      <w:r>
        <w:rPr>
          <w:rFonts w:hint="eastAsia"/>
        </w:rPr>
        <w:t>转让存在投资保护、行政审批、战略布局、外汇等其他合理商业目的</w:t>
      </w:r>
      <w:r w:rsidRPr="000C66BB">
        <w:rPr>
          <w:rFonts w:hint="eastAsia"/>
        </w:rPr>
        <w:t>的可能性。</w:t>
      </w:r>
      <w:r>
        <w:rPr>
          <w:rFonts w:hint="eastAsia"/>
        </w:rPr>
        <w:t>在判断股权间接转让是否属于避税，仅仅简单地</w:t>
      </w:r>
      <w:r w:rsidRPr="000C66BB">
        <w:rPr>
          <w:rFonts w:hint="eastAsia"/>
        </w:rPr>
        <w:t>依据一些笼统且</w:t>
      </w:r>
      <w:r>
        <w:rPr>
          <w:rFonts w:hint="eastAsia"/>
        </w:rPr>
        <w:t>操作性不强的规定来判断中间控股公司的设立与其实际达到的经济目</w:t>
      </w:r>
      <w:r w:rsidRPr="000C66BB">
        <w:rPr>
          <w:rFonts w:hint="eastAsia"/>
        </w:rPr>
        <w:t>的匹配性</w:t>
      </w:r>
      <w:r>
        <w:rPr>
          <w:rFonts w:hint="eastAsia"/>
        </w:rPr>
        <w:t>，难以</w:t>
      </w:r>
      <w:r w:rsidR="00AA0174">
        <w:rPr>
          <w:rFonts w:hint="eastAsia"/>
        </w:rPr>
        <w:t>体现税收法定原则。</w:t>
      </w:r>
    </w:p>
    <w:p w:rsidR="007332FA" w:rsidRDefault="000C66BB" w:rsidP="00E805BC">
      <w:pPr>
        <w:ind w:firstLine="480"/>
      </w:pPr>
      <w:r>
        <w:rPr>
          <w:rFonts w:hint="eastAsia"/>
        </w:rPr>
        <w:t>因此，在</w:t>
      </w:r>
      <w:r w:rsidR="007332FA">
        <w:rPr>
          <w:rFonts w:hint="eastAsia"/>
        </w:rPr>
        <w:t>股权间接转让模式下</w:t>
      </w:r>
      <w:r>
        <w:rPr>
          <w:rFonts w:hint="eastAsia"/>
        </w:rPr>
        <w:t>，</w:t>
      </w:r>
      <w:r w:rsidR="007332FA">
        <w:rPr>
          <w:rFonts w:hint="eastAsia"/>
        </w:rPr>
        <w:t>“合理商业目的”的认定与判断一直</w:t>
      </w:r>
      <w:r w:rsidR="00D3404C">
        <w:rPr>
          <w:rFonts w:hint="eastAsia"/>
        </w:rPr>
        <w:t>是</w:t>
      </w:r>
      <w:r w:rsidR="007332FA">
        <w:rPr>
          <w:rFonts w:hint="eastAsia"/>
        </w:rPr>
        <w:t>税务实践中的重点与难点所在。</w:t>
      </w:r>
    </w:p>
    <w:p w:rsidR="004C4FA1" w:rsidRPr="002A2A1C" w:rsidRDefault="007332FA" w:rsidP="00E805BC">
      <w:pPr>
        <w:ind w:firstLine="480"/>
      </w:pPr>
      <w:r>
        <w:rPr>
          <w:rFonts w:hint="eastAsia"/>
        </w:rPr>
        <w:t>本案</w:t>
      </w:r>
      <w:r w:rsidR="00537B8D" w:rsidRPr="002A2A1C">
        <w:rPr>
          <w:rFonts w:hint="eastAsia"/>
        </w:rPr>
        <w:t>对于</w:t>
      </w:r>
      <w:r w:rsidR="00AA0174">
        <w:rPr>
          <w:rFonts w:hint="eastAsia"/>
        </w:rPr>
        <w:t>“</w:t>
      </w:r>
      <w:r w:rsidR="00AA0174" w:rsidRPr="00AA0174">
        <w:rPr>
          <w:rFonts w:hint="eastAsia"/>
        </w:rPr>
        <w:t>实质经营活动</w:t>
      </w:r>
      <w:r w:rsidR="00AA0174">
        <w:rPr>
          <w:rFonts w:hint="eastAsia"/>
        </w:rPr>
        <w:t>”</w:t>
      </w:r>
      <w:r>
        <w:rPr>
          <w:rFonts w:hint="eastAsia"/>
        </w:rPr>
        <w:t>、“合理商业目的”的判定</w:t>
      </w:r>
      <w:r w:rsidR="000C66BB">
        <w:rPr>
          <w:rFonts w:hint="eastAsia"/>
        </w:rPr>
        <w:t>，</w:t>
      </w:r>
      <w:r w:rsidR="00225594" w:rsidRPr="002A2A1C">
        <w:rPr>
          <w:rFonts w:hint="eastAsia"/>
        </w:rPr>
        <w:t>即使法院采纳了</w:t>
      </w:r>
      <w:r w:rsidR="00225594" w:rsidRPr="002A2A1C">
        <w:t>TCI</w:t>
      </w:r>
      <w:r w:rsidR="00225594" w:rsidRPr="002A2A1C">
        <w:t>方面提供的全部证据</w:t>
      </w:r>
      <w:r w:rsidR="000C66BB">
        <w:t>，</w:t>
      </w:r>
      <w:r w:rsidR="00537B8D" w:rsidRPr="002A2A1C">
        <w:rPr>
          <w:rFonts w:hint="eastAsia"/>
        </w:rPr>
        <w:t>实际上在</w:t>
      </w:r>
      <w:r w:rsidR="00225594" w:rsidRPr="002A2A1C">
        <w:t>中间层组织架构和交易的实际标的方面讨论</w:t>
      </w:r>
      <w:r w:rsidR="00537B8D" w:rsidRPr="002A2A1C">
        <w:rPr>
          <w:rFonts w:hint="eastAsia"/>
        </w:rPr>
        <w:t>的余地并不大</w:t>
      </w:r>
      <w:r w:rsidR="00225594" w:rsidRPr="002A2A1C">
        <w:t>。因为</w:t>
      </w:r>
      <w:r w:rsidR="000C66BB">
        <w:t>，</w:t>
      </w:r>
      <w:r w:rsidR="00225594" w:rsidRPr="002A2A1C">
        <w:t>要证明股权投资、发债属于</w:t>
      </w:r>
      <w:r w:rsidR="00AA0174">
        <w:rPr>
          <w:rFonts w:hint="eastAsia"/>
        </w:rPr>
        <w:t>“</w:t>
      </w:r>
      <w:r w:rsidR="00AA0174" w:rsidRPr="00AA0174">
        <w:rPr>
          <w:rFonts w:hint="eastAsia"/>
        </w:rPr>
        <w:t>经营活动</w:t>
      </w:r>
      <w:r w:rsidR="00AA0174">
        <w:rPr>
          <w:rFonts w:hint="eastAsia"/>
        </w:rPr>
        <w:t>”</w:t>
      </w:r>
      <w:r w:rsidR="00225594" w:rsidRPr="002A2A1C">
        <w:t>不难</w:t>
      </w:r>
      <w:r w:rsidR="000C66BB">
        <w:t>，</w:t>
      </w:r>
      <w:r w:rsidR="00225594" w:rsidRPr="002A2A1C">
        <w:t>但要证明属于</w:t>
      </w:r>
      <w:r w:rsidR="00AA0174">
        <w:rPr>
          <w:rFonts w:hint="eastAsia"/>
        </w:rPr>
        <w:t>“</w:t>
      </w:r>
      <w:r w:rsidR="00AA0174" w:rsidRPr="00AA0174">
        <w:rPr>
          <w:rFonts w:hint="eastAsia"/>
        </w:rPr>
        <w:t>实质经营活动</w:t>
      </w:r>
      <w:r w:rsidR="00AA0174">
        <w:rPr>
          <w:rFonts w:hint="eastAsia"/>
        </w:rPr>
        <w:t>”</w:t>
      </w:r>
      <w:r w:rsidR="00225594" w:rsidRPr="002A2A1C">
        <w:t>难于登青天</w:t>
      </w:r>
      <w:r w:rsidR="000C66BB">
        <w:rPr>
          <w:rFonts w:hint="eastAsia"/>
        </w:rPr>
        <w:t>，</w:t>
      </w:r>
      <w:r w:rsidR="00D57BC0" w:rsidRPr="002A2A1C">
        <w:rPr>
          <w:rFonts w:hint="eastAsia"/>
        </w:rPr>
        <w:t>因为</w:t>
      </w:r>
      <w:r w:rsidR="00954444" w:rsidRPr="002A2A1C">
        <w:rPr>
          <w:rFonts w:hint="eastAsia"/>
        </w:rPr>
        <w:t>税收法律法规上规定的</w:t>
      </w:r>
      <w:r w:rsidR="00AA0174">
        <w:rPr>
          <w:rFonts w:hint="eastAsia"/>
        </w:rPr>
        <w:t>“实质”</w:t>
      </w:r>
      <w:r w:rsidR="00225594" w:rsidRPr="002A2A1C">
        <w:t>本来</w:t>
      </w:r>
      <w:r w:rsidR="00954444" w:rsidRPr="002A2A1C">
        <w:t>就是针对</w:t>
      </w:r>
      <w:r w:rsidR="00954444" w:rsidRPr="002A2A1C">
        <w:rPr>
          <w:rFonts w:hint="eastAsia"/>
        </w:rPr>
        <w:t>那些</w:t>
      </w:r>
      <w:r w:rsidR="00DF03B5" w:rsidRPr="002A2A1C">
        <w:rPr>
          <w:rFonts w:hint="eastAsia"/>
        </w:rPr>
        <w:t>从事消极</w:t>
      </w:r>
      <w:r w:rsidR="00954444" w:rsidRPr="002A2A1C">
        <w:t>活动的法律</w:t>
      </w:r>
      <w:r w:rsidR="00954444" w:rsidRPr="002A2A1C">
        <w:rPr>
          <w:rFonts w:hint="eastAsia"/>
        </w:rPr>
        <w:t>实体的</w:t>
      </w:r>
      <w:r w:rsidR="00225594" w:rsidRPr="002A2A1C">
        <w:t>。</w:t>
      </w:r>
    </w:p>
    <w:p w:rsidR="008958AD" w:rsidRPr="002A2A1C" w:rsidRDefault="00537B8D" w:rsidP="00E805BC">
      <w:pPr>
        <w:ind w:firstLine="480"/>
      </w:pPr>
      <w:r w:rsidRPr="002A2A1C">
        <w:rPr>
          <w:rFonts w:hint="eastAsia"/>
        </w:rPr>
        <w:t>T</w:t>
      </w:r>
      <w:r w:rsidRPr="002A2A1C">
        <w:t>CI</w:t>
      </w:r>
      <w:r w:rsidRPr="002A2A1C">
        <w:rPr>
          <w:rFonts w:hint="eastAsia"/>
        </w:rPr>
        <w:t>公司第五组证据用</w:t>
      </w:r>
      <w:r w:rsidRPr="002A2A1C">
        <w:t>来证明转让其所持有的股权具有合理的</w:t>
      </w:r>
      <w:r w:rsidR="00D15C24">
        <w:rPr>
          <w:rFonts w:hint="eastAsia"/>
        </w:rPr>
        <w:t>“</w:t>
      </w:r>
      <w:r w:rsidR="00D15C24" w:rsidRPr="002A2A1C">
        <w:t>商业目的</w:t>
      </w:r>
      <w:r w:rsidR="00D15C24">
        <w:rPr>
          <w:rFonts w:hint="eastAsia"/>
        </w:rPr>
        <w:t>”</w:t>
      </w:r>
      <w:r w:rsidR="000C66BB">
        <w:t>，</w:t>
      </w:r>
      <w:r w:rsidRPr="002A2A1C">
        <w:t>但</w:t>
      </w:r>
      <w:r w:rsidR="0050223E" w:rsidRPr="002A2A1C">
        <w:rPr>
          <w:rFonts w:hint="eastAsia"/>
        </w:rPr>
        <w:t>税务局依据</w:t>
      </w:r>
      <w:r w:rsidRPr="002A2A1C">
        <w:t>《中华人民共和国企业所得税法》第四十七条规定</w:t>
      </w:r>
      <w:r w:rsidR="000C66BB">
        <w:rPr>
          <w:rFonts w:hint="eastAsia"/>
        </w:rPr>
        <w:t>，</w:t>
      </w:r>
      <w:r w:rsidRPr="002A2A1C">
        <w:rPr>
          <w:rFonts w:hint="eastAsia"/>
        </w:rPr>
        <w:t>认为</w:t>
      </w:r>
      <w:r w:rsidRPr="002A2A1C">
        <w:t>交易上的</w:t>
      </w:r>
      <w:r w:rsidR="00D15C24">
        <w:rPr>
          <w:rFonts w:hint="eastAsia"/>
        </w:rPr>
        <w:t>“</w:t>
      </w:r>
      <w:r w:rsidR="00D15C24" w:rsidRPr="002A2A1C">
        <w:t>合理商业目的</w:t>
      </w:r>
      <w:r w:rsidR="00D15C24">
        <w:rPr>
          <w:rFonts w:hint="eastAsia"/>
        </w:rPr>
        <w:t>”</w:t>
      </w:r>
      <w:r w:rsidRPr="002A2A1C">
        <w:t>和税法上的</w:t>
      </w:r>
      <w:r w:rsidR="00D15C24">
        <w:rPr>
          <w:rFonts w:hint="eastAsia"/>
        </w:rPr>
        <w:t>“</w:t>
      </w:r>
      <w:r w:rsidR="00D15C24" w:rsidRPr="002A2A1C">
        <w:t>合理商业目的</w:t>
      </w:r>
      <w:r w:rsidR="00D15C24">
        <w:rPr>
          <w:rFonts w:hint="eastAsia"/>
        </w:rPr>
        <w:t>”</w:t>
      </w:r>
      <w:r w:rsidRPr="002A2A1C">
        <w:t>并不相同</w:t>
      </w:r>
      <w:r w:rsidR="000C66BB">
        <w:t>，</w:t>
      </w:r>
      <w:proofErr w:type="spellStart"/>
      <w:r w:rsidRPr="002A2A1C">
        <w:rPr>
          <w:rFonts w:hint="eastAsia"/>
        </w:rPr>
        <w:t>T</w:t>
      </w:r>
      <w:r w:rsidRPr="002A2A1C">
        <w:t>CI</w:t>
      </w:r>
      <w:proofErr w:type="spellEnd"/>
      <w:r w:rsidRPr="002A2A1C">
        <w:rPr>
          <w:rFonts w:hint="eastAsia"/>
        </w:rPr>
        <w:t>公司用</w:t>
      </w:r>
      <w:r w:rsidR="00D15C24">
        <w:rPr>
          <w:rFonts w:hint="eastAsia"/>
        </w:rPr>
        <w:t>“</w:t>
      </w:r>
      <w:r w:rsidR="00D15C24" w:rsidRPr="002A2A1C">
        <w:t>合理商业目的</w:t>
      </w:r>
      <w:r w:rsidR="00D15C24">
        <w:rPr>
          <w:rFonts w:hint="eastAsia"/>
        </w:rPr>
        <w:t>”</w:t>
      </w:r>
      <w:r w:rsidRPr="002A2A1C">
        <w:rPr>
          <w:rFonts w:hint="eastAsia"/>
        </w:rPr>
        <w:t>来说明税法上的</w:t>
      </w:r>
      <w:r w:rsidR="00D15C24">
        <w:rPr>
          <w:rFonts w:hint="eastAsia"/>
        </w:rPr>
        <w:t>“</w:t>
      </w:r>
      <w:r w:rsidR="00D15C24" w:rsidRPr="002A2A1C">
        <w:t>合理商业目的</w:t>
      </w:r>
      <w:r w:rsidR="00D15C24">
        <w:rPr>
          <w:rFonts w:hint="eastAsia"/>
        </w:rPr>
        <w:t>”</w:t>
      </w:r>
      <w:r w:rsidR="000C66BB">
        <w:rPr>
          <w:rFonts w:hint="eastAsia"/>
        </w:rPr>
        <w:t>，</w:t>
      </w:r>
      <w:r w:rsidRPr="002A2A1C">
        <w:rPr>
          <w:rFonts w:hint="eastAsia"/>
        </w:rPr>
        <w:t>双方理解上存在偏差。</w:t>
      </w:r>
    </w:p>
    <w:p w:rsidR="00A76198" w:rsidRDefault="00537B8D" w:rsidP="00E805BC">
      <w:pPr>
        <w:ind w:firstLine="480"/>
      </w:pPr>
      <w:r w:rsidRPr="002A2A1C">
        <w:rPr>
          <w:rFonts w:hint="eastAsia"/>
        </w:rPr>
        <w:t>因此</w:t>
      </w:r>
      <w:r w:rsidR="000C66BB">
        <w:rPr>
          <w:rFonts w:hint="eastAsia"/>
        </w:rPr>
        <w:t>，</w:t>
      </w:r>
      <w:r w:rsidRPr="002A2A1C">
        <w:rPr>
          <w:rFonts w:hint="eastAsia"/>
        </w:rPr>
        <w:t>即使</w:t>
      </w:r>
      <w:r w:rsidRPr="002A2A1C">
        <w:rPr>
          <w:rFonts w:hint="eastAsia"/>
        </w:rPr>
        <w:t>TCI</w:t>
      </w:r>
      <w:r w:rsidRPr="002A2A1C">
        <w:rPr>
          <w:rFonts w:hint="eastAsia"/>
        </w:rPr>
        <w:t>公司的证据能得到法院的采纳</w:t>
      </w:r>
      <w:r w:rsidR="000C66BB">
        <w:rPr>
          <w:rFonts w:hint="eastAsia"/>
        </w:rPr>
        <w:t>，</w:t>
      </w:r>
      <w:r w:rsidRPr="002A2A1C">
        <w:rPr>
          <w:rFonts w:hint="eastAsia"/>
        </w:rPr>
        <w:t>但是由于当时税收法律对</w:t>
      </w:r>
      <w:r w:rsidR="00D15C24">
        <w:rPr>
          <w:rFonts w:hint="eastAsia"/>
        </w:rPr>
        <w:t>“</w:t>
      </w:r>
      <w:r w:rsidR="00D15C24" w:rsidRPr="002A2A1C">
        <w:t>合理商业目的</w:t>
      </w:r>
      <w:r w:rsidR="00D15C24">
        <w:rPr>
          <w:rFonts w:hint="eastAsia"/>
        </w:rPr>
        <w:t>”</w:t>
      </w:r>
      <w:r w:rsidRPr="002A2A1C">
        <w:rPr>
          <w:rFonts w:hint="eastAsia"/>
        </w:rPr>
        <w:t>的模糊</w:t>
      </w:r>
      <w:r w:rsidR="000C66BB">
        <w:rPr>
          <w:rFonts w:hint="eastAsia"/>
        </w:rPr>
        <w:t>，</w:t>
      </w:r>
      <w:r w:rsidRPr="002A2A1C">
        <w:rPr>
          <w:rFonts w:hint="eastAsia"/>
        </w:rPr>
        <w:t>也依然无法解决纳税人和税务局对于</w:t>
      </w:r>
      <w:r w:rsidR="00D15C24">
        <w:rPr>
          <w:rFonts w:hint="eastAsia"/>
        </w:rPr>
        <w:t>“</w:t>
      </w:r>
      <w:r w:rsidR="00D15C24" w:rsidRPr="002A2A1C">
        <w:t>合理商业目的</w:t>
      </w:r>
      <w:r w:rsidR="00D15C24">
        <w:rPr>
          <w:rFonts w:hint="eastAsia"/>
        </w:rPr>
        <w:t>”</w:t>
      </w:r>
      <w:r w:rsidRPr="002A2A1C">
        <w:rPr>
          <w:rFonts w:hint="eastAsia"/>
        </w:rPr>
        <w:t>的争议。</w:t>
      </w:r>
    </w:p>
    <w:p w:rsidR="00F50027" w:rsidRDefault="00F50027" w:rsidP="002A2A1C">
      <w:pPr>
        <w:ind w:firstLine="480"/>
        <w:rPr>
          <w:rFonts w:cs="Times New Roman"/>
          <w:color w:val="000000"/>
          <w:kern w:val="0"/>
          <w:szCs w:val="24"/>
        </w:rPr>
      </w:pPr>
    </w:p>
    <w:p w:rsidR="004B2BF4" w:rsidRDefault="005E0CEE" w:rsidP="00F50027">
      <w:pPr>
        <w:pStyle w:val="2"/>
        <w:ind w:firstLine="562"/>
      </w:pPr>
      <w:bookmarkStart w:id="19" w:name="_Toc492587016"/>
      <w:r>
        <w:t>4</w:t>
      </w:r>
      <w:r w:rsidR="0061521A">
        <w:t>.3</w:t>
      </w:r>
      <w:r w:rsidR="004B2BF4" w:rsidRPr="008B67DF">
        <w:t xml:space="preserve"> </w:t>
      </w:r>
      <w:r w:rsidR="0061521A">
        <w:rPr>
          <w:rFonts w:hint="eastAsia"/>
        </w:rPr>
        <w:t>儿童投资</w:t>
      </w:r>
      <w:proofErr w:type="gramStart"/>
      <w:r w:rsidR="0061521A">
        <w:rPr>
          <w:rFonts w:hint="eastAsia"/>
        </w:rPr>
        <w:t>主基金案的</w:t>
      </w:r>
      <w:proofErr w:type="gramEnd"/>
      <w:r w:rsidR="0061521A">
        <w:rPr>
          <w:rFonts w:hint="eastAsia"/>
        </w:rPr>
        <w:t>再</w:t>
      </w:r>
      <w:r w:rsidR="00AF57FC">
        <w:rPr>
          <w:rFonts w:hint="eastAsia"/>
        </w:rPr>
        <w:t>定性</w:t>
      </w:r>
      <w:bookmarkEnd w:id="19"/>
    </w:p>
    <w:p w:rsidR="003F70BD" w:rsidRDefault="00DD1FEF" w:rsidP="00E805BC">
      <w:pPr>
        <w:ind w:firstLine="480"/>
      </w:pPr>
      <w:r w:rsidRPr="002A2A1C">
        <w:rPr>
          <w:rFonts w:hint="eastAsia"/>
        </w:rPr>
        <w:t>2015</w:t>
      </w:r>
      <w:r w:rsidRPr="002A2A1C">
        <w:rPr>
          <w:rFonts w:hint="eastAsia"/>
        </w:rPr>
        <w:t>年</w:t>
      </w:r>
      <w:r w:rsidRPr="002A2A1C">
        <w:rPr>
          <w:rFonts w:hint="eastAsia"/>
        </w:rPr>
        <w:t>2</w:t>
      </w:r>
      <w:r w:rsidRPr="002A2A1C">
        <w:rPr>
          <w:rFonts w:hint="eastAsia"/>
        </w:rPr>
        <w:t>月</w:t>
      </w:r>
      <w:r w:rsidRPr="002A2A1C">
        <w:rPr>
          <w:rFonts w:hint="eastAsia"/>
        </w:rPr>
        <w:t>3</w:t>
      </w:r>
      <w:r w:rsidRPr="002A2A1C">
        <w:rPr>
          <w:rFonts w:hint="eastAsia"/>
        </w:rPr>
        <w:t>日</w:t>
      </w:r>
      <w:r>
        <w:rPr>
          <w:rFonts w:hint="eastAsia"/>
        </w:rPr>
        <w:t>，</w:t>
      </w:r>
      <w:r w:rsidRPr="002A2A1C">
        <w:t>国家税务总局发布了《关于非居民企业间接转让财产企业所得税若干问题的公告》（国税函</w:t>
      </w:r>
      <w:r w:rsidRPr="002A2A1C">
        <w:t>[2015]7</w:t>
      </w:r>
      <w:r w:rsidRPr="002A2A1C">
        <w:t>号）（以下简称</w:t>
      </w:r>
      <w:r w:rsidRPr="002A2A1C">
        <w:t>7</w:t>
      </w:r>
      <w:r w:rsidRPr="002A2A1C">
        <w:t>号文）</w:t>
      </w:r>
      <w:r w:rsidRPr="002A2A1C">
        <w:rPr>
          <w:rFonts w:hint="eastAsia"/>
        </w:rPr>
        <w:t>。</w:t>
      </w:r>
      <w:r w:rsidRPr="002A2A1C">
        <w:t>7</w:t>
      </w:r>
      <w:r w:rsidRPr="002A2A1C">
        <w:t>号文的公布</w:t>
      </w:r>
      <w:r>
        <w:t>，</w:t>
      </w:r>
      <w:r w:rsidRPr="002A2A1C">
        <w:t>从时间上来看</w:t>
      </w:r>
      <w:r>
        <w:t>，</w:t>
      </w:r>
      <w:r w:rsidRPr="002A2A1C">
        <w:t>与本案的一审时间具有高度的吻合性</w:t>
      </w:r>
      <w:r>
        <w:t>，</w:t>
      </w:r>
      <w:r w:rsidRPr="002A2A1C">
        <w:t>可以认为本案的发生对</w:t>
      </w:r>
      <w:r w:rsidRPr="002A2A1C">
        <w:t>7</w:t>
      </w:r>
      <w:r w:rsidRPr="002A2A1C">
        <w:t>号</w:t>
      </w:r>
      <w:r w:rsidRPr="002A2A1C">
        <w:rPr>
          <w:rFonts w:hint="eastAsia"/>
        </w:rPr>
        <w:t>文的制定和出台具有催化剂的作用。</w:t>
      </w:r>
    </w:p>
    <w:p w:rsidR="00DD1FEF" w:rsidRPr="002A2A1C" w:rsidRDefault="00AF57FC" w:rsidP="00E805BC">
      <w:pPr>
        <w:ind w:firstLine="480"/>
      </w:pPr>
      <w:r>
        <w:rPr>
          <w:rFonts w:hint="eastAsia"/>
        </w:rPr>
        <w:t>本案例在发生时不适用</w:t>
      </w:r>
      <w:r>
        <w:rPr>
          <w:rFonts w:hint="eastAsia"/>
        </w:rPr>
        <w:t>7</w:t>
      </w:r>
      <w:r>
        <w:rPr>
          <w:rFonts w:hint="eastAsia"/>
        </w:rPr>
        <w:t>号文，但为了提高本案例的</w:t>
      </w:r>
      <w:r w:rsidR="00E81CE3">
        <w:rPr>
          <w:rFonts w:hint="eastAsia"/>
        </w:rPr>
        <w:t>使用价值</w:t>
      </w:r>
      <w:r w:rsidR="003F70BD">
        <w:rPr>
          <w:rFonts w:hint="eastAsia"/>
        </w:rPr>
        <w:t>以及体现</w:t>
      </w:r>
      <w:r w:rsidR="003F70BD">
        <w:rPr>
          <w:rFonts w:hint="eastAsia"/>
        </w:rPr>
        <w:t>7</w:t>
      </w:r>
      <w:r w:rsidR="003F70BD">
        <w:rPr>
          <w:rFonts w:hint="eastAsia"/>
        </w:rPr>
        <w:t>号文对非居民企业间接转让股权规定的完善</w:t>
      </w:r>
      <w:r>
        <w:rPr>
          <w:rFonts w:hint="eastAsia"/>
        </w:rPr>
        <w:t>，本节将根据</w:t>
      </w:r>
      <w:r>
        <w:rPr>
          <w:rFonts w:hint="eastAsia"/>
        </w:rPr>
        <w:t>7</w:t>
      </w:r>
      <w:r>
        <w:rPr>
          <w:rFonts w:hint="eastAsia"/>
        </w:rPr>
        <w:t>号文的相关规定对本案例的“商业目的”进行再定性分析。</w:t>
      </w:r>
    </w:p>
    <w:p w:rsidR="00DD1FEF" w:rsidRDefault="00DD1FEF" w:rsidP="00E805BC">
      <w:pPr>
        <w:ind w:firstLine="480"/>
      </w:pPr>
      <w:r w:rsidRPr="002A2A1C">
        <w:t>7</w:t>
      </w:r>
      <w:r w:rsidRPr="002A2A1C">
        <w:t>号文</w:t>
      </w:r>
      <w:r w:rsidRPr="002A2A1C">
        <w:rPr>
          <w:rFonts w:hint="eastAsia"/>
        </w:rPr>
        <w:t>作为</w:t>
      </w:r>
      <w:r w:rsidRPr="002A2A1C">
        <w:t>一般反避税规则在间接转让中国应税财产交易方面的具体应用</w:t>
      </w:r>
      <w:r>
        <w:rPr>
          <w:rFonts w:hint="eastAsia"/>
        </w:rPr>
        <w:t>，</w:t>
      </w:r>
      <w:r w:rsidRPr="002A2A1C">
        <w:rPr>
          <w:rFonts w:hint="eastAsia"/>
        </w:rPr>
        <w:t>其</w:t>
      </w:r>
      <w:r w:rsidRPr="002A2A1C">
        <w:t>对</w:t>
      </w:r>
      <w:r>
        <w:rPr>
          <w:rFonts w:hint="eastAsia"/>
        </w:rPr>
        <w:t>“</w:t>
      </w:r>
      <w:r w:rsidRPr="002A2A1C">
        <w:t>适用范围</w:t>
      </w:r>
      <w:r>
        <w:rPr>
          <w:rFonts w:hint="eastAsia"/>
        </w:rPr>
        <w:t>”</w:t>
      </w:r>
      <w:r w:rsidRPr="002A2A1C">
        <w:t>、</w:t>
      </w:r>
      <w:r>
        <w:rPr>
          <w:rFonts w:hint="eastAsia"/>
        </w:rPr>
        <w:t>“</w:t>
      </w:r>
      <w:r w:rsidRPr="002A2A1C">
        <w:t>应税财产的数额</w:t>
      </w:r>
      <w:r>
        <w:rPr>
          <w:rFonts w:hint="eastAsia"/>
        </w:rPr>
        <w:t>”</w:t>
      </w:r>
      <w:r w:rsidRPr="002A2A1C">
        <w:t>、</w:t>
      </w:r>
      <w:r>
        <w:rPr>
          <w:rFonts w:hint="eastAsia"/>
        </w:rPr>
        <w:t>“</w:t>
      </w:r>
      <w:r w:rsidRPr="002A2A1C">
        <w:t>是否具有合理商业目的</w:t>
      </w:r>
      <w:r>
        <w:rPr>
          <w:rFonts w:hint="eastAsia"/>
        </w:rPr>
        <w:t>”</w:t>
      </w:r>
      <w:r w:rsidRPr="002A2A1C">
        <w:t>等具体问题做了详细的规定和说明。</w:t>
      </w:r>
      <w:r>
        <w:rPr>
          <w:rFonts w:hint="eastAsia"/>
        </w:rPr>
        <w:t>７号公告</w:t>
      </w:r>
      <w:r w:rsidRPr="002A2A1C">
        <w:rPr>
          <w:rFonts w:hint="eastAsia"/>
        </w:rPr>
        <w:t>强调在判断</w:t>
      </w:r>
      <w:r w:rsidR="00FA24DF">
        <w:rPr>
          <w:rFonts w:hint="eastAsia"/>
        </w:rPr>
        <w:t>“</w:t>
      </w:r>
      <w:r w:rsidR="00FA24DF" w:rsidRPr="002A2A1C">
        <w:rPr>
          <w:rFonts w:hint="eastAsia"/>
        </w:rPr>
        <w:t>合理商业目的</w:t>
      </w:r>
      <w:r w:rsidR="00FA24DF">
        <w:rPr>
          <w:rFonts w:hint="eastAsia"/>
        </w:rPr>
        <w:t>”</w:t>
      </w:r>
      <w:r w:rsidRPr="002A2A1C">
        <w:rPr>
          <w:rFonts w:hint="eastAsia"/>
        </w:rPr>
        <w:t>时</w:t>
      </w:r>
      <w:r>
        <w:rPr>
          <w:rFonts w:hint="eastAsia"/>
        </w:rPr>
        <w:t>，</w:t>
      </w:r>
      <w:r w:rsidRPr="002A2A1C">
        <w:rPr>
          <w:rFonts w:hint="eastAsia"/>
        </w:rPr>
        <w:t>应整体考虑与间接转让中国应税财产交易相关的所有安排</w:t>
      </w:r>
      <w:r>
        <w:rPr>
          <w:rFonts w:hint="eastAsia"/>
        </w:rPr>
        <w:t>，</w:t>
      </w:r>
      <w:r w:rsidRPr="002A2A1C">
        <w:rPr>
          <w:rFonts w:hint="eastAsia"/>
        </w:rPr>
        <w:t>不仅明确和调整了上述三项因素与合理商业目的的相关性</w:t>
      </w:r>
      <w:r>
        <w:rPr>
          <w:rFonts w:hint="eastAsia"/>
        </w:rPr>
        <w:t>，</w:t>
      </w:r>
      <w:r w:rsidRPr="002A2A1C">
        <w:rPr>
          <w:rFonts w:hint="eastAsia"/>
        </w:rPr>
        <w:t>也扩充了其他相关因素</w:t>
      </w:r>
      <w:r>
        <w:rPr>
          <w:rFonts w:hint="eastAsia"/>
        </w:rPr>
        <w:t>，如下表</w:t>
      </w:r>
      <w:r w:rsidR="005E0CEE">
        <w:t>4</w:t>
      </w:r>
      <w:r>
        <w:rPr>
          <w:rFonts w:hint="eastAsia"/>
        </w:rPr>
        <w:t>-1</w:t>
      </w:r>
      <w:r w:rsidRPr="002A2A1C">
        <w:rPr>
          <w:rFonts w:hint="eastAsia"/>
        </w:rPr>
        <w:t>：</w:t>
      </w:r>
    </w:p>
    <w:p w:rsidR="00DD1FEF" w:rsidRDefault="00DD1FEF" w:rsidP="00DD1FEF">
      <w:pPr>
        <w:ind w:firstLine="480"/>
        <w:jc w:val="center"/>
        <w:rPr>
          <w:rFonts w:cs="Times New Roman"/>
          <w:color w:val="000000"/>
          <w:kern w:val="0"/>
          <w:szCs w:val="24"/>
        </w:rPr>
      </w:pPr>
    </w:p>
    <w:p w:rsidR="00DD1FEF" w:rsidRPr="00E805BC" w:rsidRDefault="00DD1FEF" w:rsidP="00DD1FEF">
      <w:pPr>
        <w:ind w:firstLine="420"/>
        <w:jc w:val="center"/>
        <w:rPr>
          <w:rFonts w:cs="Times New Roman"/>
          <w:color w:val="000000"/>
          <w:kern w:val="0"/>
          <w:sz w:val="21"/>
          <w:szCs w:val="21"/>
        </w:rPr>
      </w:pPr>
      <w:r w:rsidRPr="00E805BC">
        <w:rPr>
          <w:rFonts w:cs="Times New Roman" w:hint="eastAsia"/>
          <w:color w:val="000000"/>
          <w:kern w:val="0"/>
          <w:sz w:val="21"/>
          <w:szCs w:val="21"/>
        </w:rPr>
        <w:t>表</w:t>
      </w:r>
      <w:r w:rsidR="005E0CEE" w:rsidRPr="00E805BC">
        <w:rPr>
          <w:rFonts w:cs="Times New Roman"/>
          <w:color w:val="000000"/>
          <w:kern w:val="0"/>
          <w:sz w:val="21"/>
          <w:szCs w:val="21"/>
        </w:rPr>
        <w:t>4</w:t>
      </w:r>
      <w:r w:rsidRPr="00E805BC">
        <w:rPr>
          <w:rFonts w:cs="Times New Roman" w:hint="eastAsia"/>
          <w:color w:val="000000"/>
          <w:kern w:val="0"/>
          <w:sz w:val="21"/>
          <w:szCs w:val="21"/>
        </w:rPr>
        <w:t>-1</w:t>
      </w:r>
      <w:r w:rsidRPr="00E805BC">
        <w:rPr>
          <w:rFonts w:cs="Times New Roman" w:hint="eastAsia"/>
          <w:color w:val="000000"/>
          <w:kern w:val="0"/>
          <w:sz w:val="21"/>
          <w:szCs w:val="21"/>
        </w:rPr>
        <w:t>合理商业目的综合分析因素</w:t>
      </w:r>
    </w:p>
    <w:p w:rsidR="00DD1FEF" w:rsidRDefault="00DD1FEF" w:rsidP="00E805BC">
      <w:pPr>
        <w:spacing w:line="240" w:lineRule="auto"/>
        <w:ind w:firstLine="480"/>
        <w:jc w:val="center"/>
        <w:rPr>
          <w:rFonts w:asciiTheme="minorEastAsia" w:hAnsiTheme="minorEastAsia"/>
          <w:bCs/>
          <w:szCs w:val="21"/>
        </w:rPr>
      </w:pPr>
      <w:r>
        <w:rPr>
          <w:noProof/>
        </w:rPr>
        <w:drawing>
          <wp:inline distT="0" distB="0" distL="0" distR="0" wp14:anchorId="6D01B6C6" wp14:editId="75CDB42D">
            <wp:extent cx="4923990" cy="28829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54800" cy="2900939"/>
                    </a:xfrm>
                    <a:prstGeom prst="rect">
                      <a:avLst/>
                    </a:prstGeom>
                  </pic:spPr>
                </pic:pic>
              </a:graphicData>
            </a:graphic>
          </wp:inline>
        </w:drawing>
      </w:r>
    </w:p>
    <w:p w:rsidR="00DD1FEF" w:rsidRDefault="00DD1FEF" w:rsidP="00DD1FEF">
      <w:pPr>
        <w:ind w:firstLine="480"/>
        <w:jc w:val="center"/>
        <w:rPr>
          <w:rFonts w:asciiTheme="minorEastAsia" w:hAnsiTheme="minorEastAsia"/>
          <w:bCs/>
          <w:szCs w:val="21"/>
        </w:rPr>
      </w:pPr>
    </w:p>
    <w:p w:rsidR="00DD1FEF" w:rsidRDefault="00DD1FEF" w:rsidP="00E805BC">
      <w:pPr>
        <w:ind w:firstLine="480"/>
      </w:pPr>
      <w:r w:rsidRPr="002A2A1C">
        <w:rPr>
          <w:rFonts w:hint="eastAsia"/>
        </w:rPr>
        <w:t>与间接转让中国应税财产相关的整体安排同时符合</w:t>
      </w:r>
      <w:r>
        <w:rPr>
          <w:rFonts w:hint="eastAsia"/>
        </w:rPr>
        <w:t>表</w:t>
      </w:r>
      <w:r w:rsidR="005E0CEE">
        <w:t>4</w:t>
      </w:r>
      <w:r>
        <w:rPr>
          <w:rFonts w:hint="eastAsia"/>
        </w:rPr>
        <w:t>-</w:t>
      </w:r>
      <w:r>
        <w:t>2</w:t>
      </w:r>
      <w:r w:rsidRPr="002A2A1C">
        <w:rPr>
          <w:rFonts w:hint="eastAsia"/>
        </w:rPr>
        <w:t>情形的</w:t>
      </w:r>
      <w:r>
        <w:rPr>
          <w:rFonts w:hint="eastAsia"/>
        </w:rPr>
        <w:t>，</w:t>
      </w:r>
      <w:r w:rsidRPr="002A2A1C">
        <w:rPr>
          <w:rFonts w:hint="eastAsia"/>
        </w:rPr>
        <w:t>无需上述的</w:t>
      </w:r>
      <w:r w:rsidRPr="002A2A1C">
        <w:rPr>
          <w:rFonts w:hint="eastAsia"/>
        </w:rPr>
        <w:t>8</w:t>
      </w:r>
      <w:r w:rsidRPr="002A2A1C">
        <w:rPr>
          <w:rFonts w:hint="eastAsia"/>
        </w:rPr>
        <w:t>项评估因素</w:t>
      </w:r>
      <w:r>
        <w:rPr>
          <w:rFonts w:hint="eastAsia"/>
        </w:rPr>
        <w:t>进行分析和判断，应直接认定为不具有合理商业目的</w:t>
      </w:r>
      <w:r w:rsidRPr="002A2A1C">
        <w:rPr>
          <w:rFonts w:hint="eastAsia"/>
        </w:rPr>
        <w:t>：</w:t>
      </w:r>
    </w:p>
    <w:p w:rsidR="00DD1FEF" w:rsidRDefault="00DD1FEF" w:rsidP="00DD1FEF">
      <w:pPr>
        <w:ind w:firstLine="480"/>
        <w:rPr>
          <w:rFonts w:cs="Times New Roman"/>
          <w:color w:val="000000"/>
          <w:kern w:val="0"/>
          <w:szCs w:val="24"/>
        </w:rPr>
      </w:pPr>
    </w:p>
    <w:p w:rsidR="00DD1FEF" w:rsidRPr="00E805BC" w:rsidRDefault="00DD1FEF" w:rsidP="00DD1FEF">
      <w:pPr>
        <w:ind w:firstLine="420"/>
        <w:jc w:val="center"/>
        <w:rPr>
          <w:rFonts w:cs="Times New Roman"/>
          <w:color w:val="000000"/>
          <w:kern w:val="0"/>
          <w:sz w:val="21"/>
          <w:szCs w:val="21"/>
        </w:rPr>
      </w:pPr>
      <w:r w:rsidRPr="00E805BC">
        <w:rPr>
          <w:rFonts w:cs="Times New Roman" w:hint="eastAsia"/>
          <w:color w:val="000000"/>
          <w:kern w:val="0"/>
          <w:sz w:val="21"/>
          <w:szCs w:val="21"/>
        </w:rPr>
        <w:t>表</w:t>
      </w:r>
      <w:r w:rsidR="005E0CEE" w:rsidRPr="00E805BC">
        <w:rPr>
          <w:rFonts w:cs="Times New Roman"/>
          <w:color w:val="000000"/>
          <w:kern w:val="0"/>
          <w:sz w:val="21"/>
          <w:szCs w:val="21"/>
        </w:rPr>
        <w:t>4</w:t>
      </w:r>
      <w:r w:rsidRPr="00E805BC">
        <w:rPr>
          <w:rFonts w:cs="Times New Roman" w:hint="eastAsia"/>
          <w:color w:val="000000"/>
          <w:kern w:val="0"/>
          <w:sz w:val="21"/>
          <w:szCs w:val="21"/>
        </w:rPr>
        <w:t>-</w:t>
      </w:r>
      <w:r w:rsidRPr="00E805BC">
        <w:rPr>
          <w:rFonts w:cs="Times New Roman"/>
          <w:color w:val="000000"/>
          <w:kern w:val="0"/>
          <w:sz w:val="21"/>
          <w:szCs w:val="21"/>
        </w:rPr>
        <w:t>2</w:t>
      </w:r>
      <w:r w:rsidRPr="00E805BC">
        <w:rPr>
          <w:rFonts w:cs="Times New Roman" w:hint="eastAsia"/>
          <w:color w:val="000000"/>
          <w:kern w:val="0"/>
          <w:sz w:val="21"/>
          <w:szCs w:val="21"/>
        </w:rPr>
        <w:t>直接认定不具有合理商业目的的要素</w:t>
      </w:r>
    </w:p>
    <w:p w:rsidR="00DD1FEF" w:rsidRDefault="00DD1FEF" w:rsidP="00E805BC">
      <w:pPr>
        <w:spacing w:line="240" w:lineRule="auto"/>
        <w:ind w:firstLine="480"/>
        <w:jc w:val="center"/>
        <w:rPr>
          <w:rFonts w:asciiTheme="minorEastAsia" w:hAnsiTheme="minorEastAsia"/>
          <w:bCs/>
          <w:szCs w:val="21"/>
        </w:rPr>
      </w:pPr>
      <w:r>
        <w:rPr>
          <w:noProof/>
        </w:rPr>
        <w:drawing>
          <wp:inline distT="0" distB="0" distL="0" distR="0" wp14:anchorId="6F861210" wp14:editId="056FE96D">
            <wp:extent cx="4810345" cy="1968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14936" cy="1970379"/>
                    </a:xfrm>
                    <a:prstGeom prst="rect">
                      <a:avLst/>
                    </a:prstGeom>
                  </pic:spPr>
                </pic:pic>
              </a:graphicData>
            </a:graphic>
          </wp:inline>
        </w:drawing>
      </w:r>
    </w:p>
    <w:p w:rsidR="00F328A4" w:rsidRDefault="00F328A4" w:rsidP="00DD1FEF">
      <w:pPr>
        <w:ind w:firstLine="480"/>
        <w:jc w:val="center"/>
        <w:rPr>
          <w:rFonts w:asciiTheme="minorEastAsia" w:hAnsiTheme="minorEastAsia"/>
          <w:bCs/>
          <w:szCs w:val="21"/>
        </w:rPr>
      </w:pPr>
    </w:p>
    <w:p w:rsidR="00D10E4B" w:rsidRDefault="00E81CE3" w:rsidP="00E805BC">
      <w:pPr>
        <w:ind w:firstLine="480"/>
      </w:pPr>
      <w:r>
        <w:rPr>
          <w:rFonts w:hint="eastAsia"/>
        </w:rPr>
        <w:t>若按照</w:t>
      </w:r>
      <w:r w:rsidR="00F328A4">
        <w:rPr>
          <w:rFonts w:hint="eastAsia"/>
        </w:rPr>
        <w:t>7</w:t>
      </w:r>
      <w:r w:rsidR="00F328A4">
        <w:rPr>
          <w:rFonts w:hint="eastAsia"/>
        </w:rPr>
        <w:t>号文的规定，</w:t>
      </w:r>
      <w:r w:rsidR="00AF57FC">
        <w:rPr>
          <w:rFonts w:hint="eastAsia"/>
        </w:rPr>
        <w:t>根据表</w:t>
      </w:r>
      <w:r w:rsidR="005E0CEE">
        <w:t>4</w:t>
      </w:r>
      <w:r w:rsidR="00AF57FC">
        <w:rPr>
          <w:rFonts w:hint="eastAsia"/>
        </w:rPr>
        <w:t>-</w:t>
      </w:r>
      <w:r w:rsidR="00AF57FC">
        <w:t>2</w:t>
      </w:r>
      <w:r w:rsidR="00AF57FC">
        <w:rPr>
          <w:rFonts w:hint="eastAsia"/>
        </w:rPr>
        <w:t>的四项要素来判定本案中儿童投资主基金是否具有合理商业目的</w:t>
      </w:r>
      <w:r w:rsidR="00FA1C32">
        <w:rPr>
          <w:rFonts w:hint="eastAsia"/>
        </w:rPr>
        <w:t>：</w:t>
      </w:r>
    </w:p>
    <w:p w:rsidR="00DF46FC" w:rsidRPr="00DF46FC" w:rsidRDefault="00DF46FC" w:rsidP="00E805BC">
      <w:pPr>
        <w:ind w:firstLine="480"/>
      </w:pPr>
      <w:r>
        <w:rPr>
          <w:rFonts w:hint="eastAsia"/>
        </w:rPr>
        <w:t>（</w:t>
      </w:r>
      <w:r>
        <w:rPr>
          <w:rFonts w:hint="eastAsia"/>
        </w:rPr>
        <w:t>1</w:t>
      </w:r>
      <w:r>
        <w:rPr>
          <w:rFonts w:hint="eastAsia"/>
        </w:rPr>
        <w:t>）</w:t>
      </w:r>
      <w:r w:rsidR="00FA1C32" w:rsidRPr="00DF46FC">
        <w:rPr>
          <w:rFonts w:hint="eastAsia"/>
        </w:rPr>
        <w:t>股权价值。</w:t>
      </w:r>
      <w:r w:rsidR="004E3256" w:rsidRPr="00DF46FC">
        <w:rPr>
          <w:rFonts w:hint="eastAsia"/>
        </w:rPr>
        <w:t>根据附件</w:t>
      </w:r>
      <w:r w:rsidR="004E3256" w:rsidRPr="00DF46FC">
        <w:rPr>
          <w:rFonts w:hint="eastAsia"/>
        </w:rPr>
        <w:t>1</w:t>
      </w:r>
      <w:r w:rsidR="004E3256" w:rsidRPr="00DF46FC">
        <w:rPr>
          <w:rFonts w:hint="eastAsia"/>
        </w:rPr>
        <w:t>新建设集团对</w:t>
      </w:r>
      <w:r w:rsidR="004E3256" w:rsidRPr="00DF46FC">
        <w:rPr>
          <w:rFonts w:hint="eastAsia"/>
        </w:rPr>
        <w:t>C</w:t>
      </w:r>
      <w:r w:rsidR="004E3256" w:rsidRPr="00DF46FC">
        <w:t>FC</w:t>
      </w:r>
      <w:r w:rsidR="004E3256" w:rsidRPr="00DF46FC">
        <w:rPr>
          <w:rFonts w:hint="eastAsia"/>
        </w:rPr>
        <w:t>公司股权的估值可知，</w:t>
      </w:r>
      <w:r w:rsidRPr="00DF46FC">
        <w:rPr>
          <w:rFonts w:hint="eastAsia"/>
        </w:rPr>
        <w:t>C</w:t>
      </w:r>
      <w:r w:rsidRPr="00DF46FC">
        <w:t>FC</w:t>
      </w:r>
      <w:r w:rsidRPr="00DF46FC">
        <w:rPr>
          <w:rFonts w:hint="eastAsia"/>
        </w:rPr>
        <w:t>股权的价值主要是根据杭州国益路桥公司的通行费收入进行折现后得到，并考虑了尚未偿还贷款利息开支、现金和来源于杭州国益路桥公司的股息预扣税的影响。</w:t>
      </w:r>
    </w:p>
    <w:p w:rsidR="00FA1C32" w:rsidRDefault="00DF46FC" w:rsidP="00E805BC">
      <w:pPr>
        <w:ind w:firstLine="480"/>
      </w:pPr>
      <w:r w:rsidRPr="00DF46FC">
        <w:rPr>
          <w:rFonts w:hint="eastAsia"/>
        </w:rPr>
        <w:t>根据估值报告中杭州国益路桥公司交通费年度收益和</w:t>
      </w:r>
      <w:r w:rsidRPr="00DF46FC">
        <w:rPr>
          <w:rFonts w:hint="eastAsia"/>
        </w:rPr>
        <w:t>1</w:t>
      </w:r>
      <w:r w:rsidRPr="00DF46FC">
        <w:t>1</w:t>
      </w:r>
      <w:r w:rsidRPr="00DF46FC">
        <w:rPr>
          <w:rFonts w:hint="eastAsia"/>
        </w:rPr>
        <w:t>%</w:t>
      </w:r>
      <w:r w:rsidRPr="00DF46FC">
        <w:rPr>
          <w:rFonts w:hint="eastAsia"/>
        </w:rPr>
        <w:t>的折现率，可以得到进行折现后归属于</w:t>
      </w:r>
      <w:r>
        <w:rPr>
          <w:rFonts w:hint="eastAsia"/>
        </w:rPr>
        <w:t>2</w:t>
      </w:r>
      <w:r>
        <w:t>009</w:t>
      </w:r>
      <w:r>
        <w:rPr>
          <w:rFonts w:hint="eastAsia"/>
        </w:rPr>
        <w:t>年</w:t>
      </w:r>
      <w:r w:rsidRPr="00DF46FC">
        <w:rPr>
          <w:rFonts w:hint="eastAsia"/>
        </w:rPr>
        <w:t>C</w:t>
      </w:r>
      <w:r w:rsidRPr="00DF46FC">
        <w:t>FC</w:t>
      </w:r>
      <w:r w:rsidRPr="00DF46FC">
        <w:rPr>
          <w:rFonts w:hint="eastAsia"/>
        </w:rPr>
        <w:t>公司</w:t>
      </w:r>
      <w:r w:rsidRPr="00DF46FC">
        <w:rPr>
          <w:rFonts w:hint="eastAsia"/>
        </w:rPr>
        <w:t>9</w:t>
      </w:r>
      <w:r w:rsidRPr="00DF46FC">
        <w:t>5</w:t>
      </w:r>
      <w:r w:rsidRPr="00DF46FC">
        <w:rPr>
          <w:rFonts w:hint="eastAsia"/>
        </w:rPr>
        <w:t>%</w:t>
      </w:r>
      <w:r w:rsidR="001426A3">
        <w:rPr>
          <w:rFonts w:hint="eastAsia"/>
        </w:rPr>
        <w:t>股权</w:t>
      </w:r>
      <w:r w:rsidRPr="00DF46FC">
        <w:rPr>
          <w:rFonts w:hint="eastAsia"/>
        </w:rPr>
        <w:t>的价值</w:t>
      </w:r>
      <w:r w:rsidR="001426A3">
        <w:rPr>
          <w:rFonts w:hint="eastAsia"/>
        </w:rPr>
        <w:t>为</w:t>
      </w:r>
      <w:r w:rsidR="001426A3">
        <w:rPr>
          <w:rFonts w:hint="eastAsia"/>
        </w:rPr>
        <w:t>1</w:t>
      </w:r>
      <w:r w:rsidR="001426A3">
        <w:t>041400.43</w:t>
      </w:r>
      <w:r w:rsidR="001426A3">
        <w:rPr>
          <w:rFonts w:hint="eastAsia"/>
        </w:rPr>
        <w:t>万元。因</w:t>
      </w:r>
      <w:r w:rsidR="001426A3">
        <w:rPr>
          <w:rFonts w:hint="eastAsia"/>
        </w:rPr>
        <w:lastRenderedPageBreak/>
        <w:t>此，</w:t>
      </w:r>
      <w:r w:rsidR="001426A3" w:rsidRPr="001426A3">
        <w:t>CFC</w:t>
      </w:r>
      <w:r w:rsidR="001426A3" w:rsidRPr="001426A3">
        <w:t>公司</w:t>
      </w:r>
      <w:r w:rsidR="001426A3" w:rsidRPr="001426A3">
        <w:t>26.32%</w:t>
      </w:r>
      <w:r w:rsidR="001426A3">
        <w:t>的</w:t>
      </w:r>
      <w:r w:rsidR="001426A3">
        <w:rPr>
          <w:rFonts w:hint="eastAsia"/>
        </w:rPr>
        <w:t>股权价值为</w:t>
      </w:r>
      <w:r w:rsidR="001426A3">
        <w:rPr>
          <w:rFonts w:hint="eastAsia"/>
        </w:rPr>
        <w:t>2</w:t>
      </w:r>
      <w:r w:rsidR="001426A3">
        <w:t>7</w:t>
      </w:r>
      <w:r w:rsidR="00742754">
        <w:rPr>
          <w:rFonts w:hint="eastAsia"/>
        </w:rPr>
        <w:t>.</w:t>
      </w:r>
      <w:r w:rsidR="001426A3">
        <w:t>4</w:t>
      </w:r>
      <w:r w:rsidR="00742754">
        <w:t>1</w:t>
      </w:r>
      <w:r w:rsidR="001426A3">
        <w:rPr>
          <w:rFonts w:hint="eastAsia"/>
        </w:rPr>
        <w:t>万元</w:t>
      </w:r>
      <w:r w:rsidR="00742754">
        <w:rPr>
          <w:rFonts w:hint="eastAsia"/>
        </w:rPr>
        <w:t>，而对项目成本进行预估后，至</w:t>
      </w:r>
      <w:r w:rsidR="00742754">
        <w:rPr>
          <w:rFonts w:hint="eastAsia"/>
        </w:rPr>
        <w:t>2</w:t>
      </w:r>
      <w:r w:rsidR="00742754">
        <w:t>029</w:t>
      </w:r>
      <w:r w:rsidR="00742754">
        <w:rPr>
          <w:rFonts w:hint="eastAsia"/>
        </w:rPr>
        <w:t>年最终达人民币</w:t>
      </w:r>
      <w:r w:rsidR="00742754">
        <w:t>4.58</w:t>
      </w:r>
      <w:r w:rsidR="00742754">
        <w:rPr>
          <w:rFonts w:hint="eastAsia"/>
        </w:rPr>
        <w:t>亿元，，简单地以</w:t>
      </w:r>
      <w:r w:rsidR="00742754" w:rsidRPr="001426A3">
        <w:t>1</w:t>
      </w:r>
      <w:r w:rsidR="00742754" w:rsidRPr="001426A3">
        <w:t>美元对人民币</w:t>
      </w:r>
      <w:r w:rsidR="00742754" w:rsidRPr="001426A3">
        <w:t>6.8</w:t>
      </w:r>
      <w:r w:rsidR="00742754">
        <w:t>2</w:t>
      </w:r>
      <w:r w:rsidR="00742754" w:rsidRPr="001426A3">
        <w:t>元</w:t>
      </w:r>
      <w:r w:rsidR="00742754">
        <w:rPr>
          <w:rFonts w:hint="eastAsia"/>
        </w:rPr>
        <w:t>的汇率后的股权价值约为</w:t>
      </w:r>
      <w:r w:rsidR="00742754">
        <w:t>3.35</w:t>
      </w:r>
      <w:r w:rsidR="00742754">
        <w:rPr>
          <w:rFonts w:hint="eastAsia"/>
        </w:rPr>
        <w:t>亿美元</w:t>
      </w:r>
      <w:r w:rsidR="001426A3">
        <w:rPr>
          <w:rFonts w:hint="eastAsia"/>
        </w:rPr>
        <w:t>，而</w:t>
      </w:r>
      <w:r w:rsidR="001426A3">
        <w:rPr>
          <w:rFonts w:hint="eastAsia"/>
        </w:rPr>
        <w:t>T</w:t>
      </w:r>
      <w:r w:rsidR="001426A3">
        <w:t>CI</w:t>
      </w:r>
      <w:r w:rsidR="001426A3">
        <w:rPr>
          <w:rFonts w:hint="eastAsia"/>
        </w:rPr>
        <w:t>公司</w:t>
      </w:r>
      <w:r w:rsidR="001426A3" w:rsidRPr="001426A3">
        <w:t>转让价格为</w:t>
      </w:r>
      <w:r w:rsidR="001426A3" w:rsidRPr="001426A3">
        <w:t>2.8</w:t>
      </w:r>
      <w:r w:rsidR="001426A3" w:rsidRPr="001426A3">
        <w:t>亿美元</w:t>
      </w:r>
      <w:r w:rsidR="00742754">
        <w:rPr>
          <w:rFonts w:hint="eastAsia"/>
        </w:rPr>
        <w:t>。因此，</w:t>
      </w:r>
      <w:proofErr w:type="gramStart"/>
      <w:r w:rsidR="00742754">
        <w:rPr>
          <w:rFonts w:hint="eastAsia"/>
        </w:rPr>
        <w:t>杭州国</w:t>
      </w:r>
      <w:proofErr w:type="gramEnd"/>
      <w:r w:rsidR="00742754">
        <w:rPr>
          <w:rFonts w:hint="eastAsia"/>
        </w:rPr>
        <w:t>益路桥公司的净资产对转让</w:t>
      </w:r>
      <w:r w:rsidR="00742754">
        <w:rPr>
          <w:rFonts w:hint="eastAsia"/>
        </w:rPr>
        <w:t>C</w:t>
      </w:r>
      <w:r w:rsidR="00742754">
        <w:t>FC</w:t>
      </w:r>
      <w:r w:rsidR="00742754">
        <w:rPr>
          <w:rFonts w:hint="eastAsia"/>
        </w:rPr>
        <w:t>股权价值的</w:t>
      </w:r>
      <w:proofErr w:type="gramStart"/>
      <w:r w:rsidR="00742754">
        <w:rPr>
          <w:rFonts w:hint="eastAsia"/>
        </w:rPr>
        <w:t>影响约</w:t>
      </w:r>
      <w:proofErr w:type="gramEnd"/>
      <w:r w:rsidR="00742754">
        <w:rPr>
          <w:rFonts w:hint="eastAsia"/>
        </w:rPr>
        <w:t>为</w:t>
      </w:r>
      <w:r w:rsidR="00742754">
        <w:rPr>
          <w:rFonts w:hint="eastAsia"/>
        </w:rPr>
        <w:t>8</w:t>
      </w:r>
      <w:r w:rsidR="00742754">
        <w:t>3</w:t>
      </w:r>
      <w:r w:rsidR="00742754">
        <w:rPr>
          <w:rFonts w:hint="eastAsia"/>
        </w:rPr>
        <w:t>%</w:t>
      </w:r>
      <w:r w:rsidR="00742754">
        <w:rPr>
          <w:rFonts w:hint="eastAsia"/>
        </w:rPr>
        <w:t>，满足第一个指标。</w:t>
      </w:r>
    </w:p>
    <w:p w:rsidR="00742754" w:rsidRDefault="00742754" w:rsidP="00E805BC">
      <w:pPr>
        <w:ind w:firstLine="480"/>
      </w:pPr>
      <w:r>
        <w:rPr>
          <w:rFonts w:hint="eastAsia"/>
        </w:rPr>
        <w:t>（</w:t>
      </w:r>
      <w:r>
        <w:rPr>
          <w:rFonts w:hint="eastAsia"/>
        </w:rPr>
        <w:t>2</w:t>
      </w:r>
      <w:r>
        <w:rPr>
          <w:rFonts w:hint="eastAsia"/>
        </w:rPr>
        <w:t>）收入来源。</w:t>
      </w:r>
      <w:r w:rsidR="00D2774B">
        <w:rPr>
          <w:rFonts w:hint="eastAsia"/>
        </w:rPr>
        <w:t>根据新建设集团估值报告所称，</w:t>
      </w:r>
      <w:r w:rsidR="00D2774B">
        <w:rPr>
          <w:rFonts w:hint="eastAsia"/>
        </w:rPr>
        <w:t>C</w:t>
      </w:r>
      <w:r w:rsidR="00D2774B">
        <w:t>FC</w:t>
      </w:r>
      <w:r w:rsidR="00D2774B">
        <w:rPr>
          <w:rFonts w:hint="eastAsia"/>
        </w:rPr>
        <w:t>公司收入主要为经营杭州绕城公路之收费。根据</w:t>
      </w:r>
      <w:r w:rsidR="00D2774B">
        <w:rPr>
          <w:rFonts w:hint="eastAsia"/>
        </w:rPr>
        <w:t>2</w:t>
      </w:r>
      <w:r w:rsidR="00D2774B">
        <w:t>00</w:t>
      </w:r>
      <w:r w:rsidR="00304D71">
        <w:t>8</w:t>
      </w:r>
      <w:r w:rsidR="00D2774B">
        <w:rPr>
          <w:rFonts w:hint="eastAsia"/>
        </w:rPr>
        <w:t>年杭州国益路桥公司的路费收入</w:t>
      </w:r>
      <w:r w:rsidR="00304D71">
        <w:rPr>
          <w:rFonts w:hint="eastAsia"/>
        </w:rPr>
        <w:t>计算归属于</w:t>
      </w:r>
      <w:r w:rsidR="00304D71">
        <w:rPr>
          <w:rFonts w:hint="eastAsia"/>
        </w:rPr>
        <w:t>C</w:t>
      </w:r>
      <w:r w:rsidR="00304D71">
        <w:t>FC</w:t>
      </w:r>
      <w:r w:rsidR="00304D71">
        <w:rPr>
          <w:rFonts w:hint="eastAsia"/>
        </w:rPr>
        <w:t>公司的营业收入约为</w:t>
      </w:r>
      <w:r w:rsidR="00304D71">
        <w:rPr>
          <w:rFonts w:hint="eastAsia"/>
        </w:rPr>
        <w:t>1</w:t>
      </w:r>
      <w:r w:rsidR="00304D71">
        <w:t>8344</w:t>
      </w:r>
      <w:r w:rsidR="00304D71">
        <w:rPr>
          <w:rFonts w:hint="eastAsia"/>
        </w:rPr>
        <w:t>万美元，而</w:t>
      </w:r>
      <w:r w:rsidR="00304D71">
        <w:t>2008</w:t>
      </w:r>
      <w:r w:rsidR="00304D71">
        <w:rPr>
          <w:rFonts w:hint="eastAsia"/>
        </w:rPr>
        <w:t>年</w:t>
      </w:r>
      <w:r w:rsidR="00304D71">
        <w:rPr>
          <w:rFonts w:hint="eastAsia"/>
        </w:rPr>
        <w:t>C</w:t>
      </w:r>
      <w:r w:rsidR="00304D71">
        <w:t>FC</w:t>
      </w:r>
      <w:r w:rsidR="00304D71">
        <w:rPr>
          <w:rFonts w:hint="eastAsia"/>
        </w:rPr>
        <w:t>公司的营业额约</w:t>
      </w:r>
      <w:r w:rsidR="00304D71">
        <w:rPr>
          <w:rFonts w:hint="eastAsia"/>
        </w:rPr>
        <w:t>1</w:t>
      </w:r>
      <w:r w:rsidR="00304D71">
        <w:t>9400</w:t>
      </w:r>
      <w:r w:rsidR="00304D71">
        <w:rPr>
          <w:rFonts w:hint="eastAsia"/>
        </w:rPr>
        <w:t>万美元，因此可以认为</w:t>
      </w:r>
      <w:r w:rsidR="00304D71">
        <w:rPr>
          <w:rFonts w:hint="eastAsia"/>
        </w:rPr>
        <w:t>C</w:t>
      </w:r>
      <w:r w:rsidR="00304D71">
        <w:t>FC</w:t>
      </w:r>
      <w:r w:rsidR="00304D71">
        <w:rPr>
          <w:rFonts w:hint="eastAsia"/>
        </w:rPr>
        <w:t>公司有</w:t>
      </w:r>
      <w:r w:rsidR="00304D71">
        <w:rPr>
          <w:rFonts w:hint="eastAsia"/>
        </w:rPr>
        <w:t>9</w:t>
      </w:r>
      <w:r w:rsidR="00304D71">
        <w:t>4.56</w:t>
      </w:r>
      <w:r w:rsidR="00304D71">
        <w:rPr>
          <w:rFonts w:hint="eastAsia"/>
        </w:rPr>
        <w:t>%</w:t>
      </w:r>
      <w:r w:rsidR="00304D71">
        <w:rPr>
          <w:rFonts w:hint="eastAsia"/>
        </w:rPr>
        <w:t>的收入是来源于我国境内的资产。满足第二项指标</w:t>
      </w:r>
    </w:p>
    <w:p w:rsidR="00742754" w:rsidRDefault="00742754" w:rsidP="00E805BC">
      <w:pPr>
        <w:ind w:firstLine="480"/>
      </w:pPr>
      <w:r>
        <w:rPr>
          <w:rFonts w:hint="eastAsia"/>
        </w:rPr>
        <w:t>（</w:t>
      </w:r>
      <w:r>
        <w:rPr>
          <w:rFonts w:hint="eastAsia"/>
        </w:rPr>
        <w:t>3</w:t>
      </w:r>
      <w:r>
        <w:rPr>
          <w:rFonts w:hint="eastAsia"/>
        </w:rPr>
        <w:t>）经济实质。</w:t>
      </w:r>
      <w:r w:rsidR="00D2774B" w:rsidRPr="00D2774B">
        <w:t>CFC</w:t>
      </w:r>
      <w:r w:rsidR="00D2774B" w:rsidRPr="00D2774B">
        <w:t>公司除了控股香港国汇公司并通过其控股杭州国益路桥公司之外没有其他实质性的经营，</w:t>
      </w:r>
      <w:r w:rsidR="00D2774B">
        <w:rPr>
          <w:rFonts w:hint="eastAsia"/>
        </w:rPr>
        <w:t>其通过发债筹资的活动也是以香港国汇公司作为抵押，而香港国汇公司的实际价值则是来源于杭州国益路桥公司。因此可以认为</w:t>
      </w:r>
      <w:r w:rsidR="00D2774B">
        <w:rPr>
          <w:rFonts w:hint="eastAsia"/>
        </w:rPr>
        <w:t>C</w:t>
      </w:r>
      <w:r w:rsidR="00D2774B">
        <w:t>FC</w:t>
      </w:r>
      <w:r w:rsidR="00D2774B">
        <w:rPr>
          <w:rFonts w:hint="eastAsia"/>
        </w:rPr>
        <w:t>公司没有进行实质经营活动。</w:t>
      </w:r>
    </w:p>
    <w:p w:rsidR="00742754" w:rsidRDefault="00742754" w:rsidP="00E805BC">
      <w:pPr>
        <w:ind w:firstLine="480"/>
      </w:pPr>
      <w:r>
        <w:rPr>
          <w:rFonts w:hint="eastAsia"/>
        </w:rPr>
        <w:t>（</w:t>
      </w:r>
      <w:r>
        <w:rPr>
          <w:rFonts w:hint="eastAsia"/>
        </w:rPr>
        <w:t>4</w:t>
      </w:r>
      <w:r>
        <w:rPr>
          <w:rFonts w:hint="eastAsia"/>
        </w:rPr>
        <w:t>）所得税负。</w:t>
      </w:r>
      <w:r w:rsidR="005F03B0">
        <w:rPr>
          <w:rFonts w:hint="eastAsia"/>
        </w:rPr>
        <w:t>通过转让</w:t>
      </w:r>
      <w:r w:rsidR="005F03B0">
        <w:rPr>
          <w:rFonts w:hint="eastAsia"/>
        </w:rPr>
        <w:t>C</w:t>
      </w:r>
      <w:r w:rsidR="005F03B0">
        <w:t>FC</w:t>
      </w:r>
      <w:r w:rsidR="005F03B0">
        <w:rPr>
          <w:rFonts w:hint="eastAsia"/>
        </w:rPr>
        <w:t>公司股权，</w:t>
      </w:r>
      <w:r>
        <w:rPr>
          <w:rFonts w:hint="eastAsia"/>
        </w:rPr>
        <w:t>间接转让杭州</w:t>
      </w:r>
      <w:r w:rsidR="005F03B0">
        <w:rPr>
          <w:rFonts w:hint="eastAsia"/>
        </w:rPr>
        <w:t>国益</w:t>
      </w:r>
      <w:r>
        <w:rPr>
          <w:rFonts w:hint="eastAsia"/>
        </w:rPr>
        <w:t>路桥公司</w:t>
      </w:r>
      <w:r w:rsidR="005F03B0">
        <w:rPr>
          <w:rFonts w:hint="eastAsia"/>
        </w:rPr>
        <w:t>的股权，在香港不用缴纳资本利得税，而直接转让杭州国益路桥公司股权则要根据财产所得在我国境内缴纳</w:t>
      </w:r>
      <w:r w:rsidR="005F03B0">
        <w:rPr>
          <w:rFonts w:hint="eastAsia"/>
        </w:rPr>
        <w:t>1</w:t>
      </w:r>
      <w:r w:rsidR="005F03B0">
        <w:t>0</w:t>
      </w:r>
      <w:r w:rsidR="005F03B0">
        <w:rPr>
          <w:rFonts w:hint="eastAsia"/>
        </w:rPr>
        <w:t>%</w:t>
      </w:r>
      <w:r w:rsidR="005F03B0">
        <w:rPr>
          <w:rFonts w:hint="eastAsia"/>
        </w:rPr>
        <w:t>的企业所得税，因此这项间接转让股权的交易安排在境外的税负低于在我国境内的所得税税负</w:t>
      </w:r>
    </w:p>
    <w:p w:rsidR="00054E1D" w:rsidRDefault="00304D71" w:rsidP="00E805BC">
      <w:pPr>
        <w:ind w:firstLine="480"/>
        <w:sectPr w:rsidR="00054E1D">
          <w:headerReference w:type="default" r:id="rId23"/>
          <w:pgSz w:w="11906" w:h="16838"/>
          <w:pgMar w:top="1440" w:right="1800" w:bottom="1440" w:left="1800" w:header="851" w:footer="992" w:gutter="0"/>
          <w:cols w:space="425"/>
          <w:docGrid w:type="lines" w:linePitch="312"/>
        </w:sectPr>
      </w:pPr>
      <w:r>
        <w:rPr>
          <w:rFonts w:hint="eastAsia"/>
        </w:rPr>
        <w:t>按照</w:t>
      </w:r>
      <w:r>
        <w:rPr>
          <w:rFonts w:hint="eastAsia"/>
        </w:rPr>
        <w:t>7</w:t>
      </w:r>
      <w:r>
        <w:rPr>
          <w:rFonts w:hint="eastAsia"/>
        </w:rPr>
        <w:t>号文的规定，儿童投资主基金的间接转让股权交易可以直接认定为不具有合理商业目的。</w:t>
      </w:r>
      <w:r w:rsidR="00BE4820">
        <w:rPr>
          <w:rFonts w:hint="eastAsia"/>
        </w:rPr>
        <w:t>虽然本案例所涉及的交易发生较早，无法使用</w:t>
      </w:r>
      <w:r w:rsidR="00BE4820">
        <w:rPr>
          <w:rFonts w:hint="eastAsia"/>
        </w:rPr>
        <w:t>7</w:t>
      </w:r>
      <w:r w:rsidR="00BE4820">
        <w:rPr>
          <w:rFonts w:hint="eastAsia"/>
        </w:rPr>
        <w:t>号文规定，对“合理商业目的”存在争议，但是最终的判决结果也与</w:t>
      </w:r>
      <w:r w:rsidR="00BE4820">
        <w:rPr>
          <w:rFonts w:hint="eastAsia"/>
        </w:rPr>
        <w:t>7</w:t>
      </w:r>
      <w:r w:rsidR="00BE4820">
        <w:rPr>
          <w:rFonts w:hint="eastAsia"/>
        </w:rPr>
        <w:t>号文规定并不矛盾。也正是因为在无法适用更完善的法律法规的情况下</w:t>
      </w:r>
      <w:proofErr w:type="gramStart"/>
      <w:r w:rsidR="00BE4820">
        <w:rPr>
          <w:rFonts w:hint="eastAsia"/>
        </w:rPr>
        <w:t>作出</w:t>
      </w:r>
      <w:proofErr w:type="gramEnd"/>
      <w:r w:rsidR="00BE4820">
        <w:rPr>
          <w:rFonts w:hint="eastAsia"/>
        </w:rPr>
        <w:t>了符合税法精神的判决，本案例具有在非居民企业间接转让股权这一领域的研究价值。</w:t>
      </w:r>
    </w:p>
    <w:p w:rsidR="002F4990" w:rsidRPr="00036B6D" w:rsidRDefault="005E0CEE" w:rsidP="00F50027">
      <w:pPr>
        <w:pStyle w:val="1"/>
        <w:ind w:firstLine="643"/>
      </w:pPr>
      <w:bookmarkStart w:id="20" w:name="_Toc492587017"/>
      <w:r>
        <w:lastRenderedPageBreak/>
        <w:t>5</w:t>
      </w:r>
      <w:r w:rsidR="002F4990" w:rsidRPr="002A2A1C">
        <w:t xml:space="preserve"> </w:t>
      </w:r>
      <w:r w:rsidR="00036B6D">
        <w:rPr>
          <w:rFonts w:hint="eastAsia"/>
        </w:rPr>
        <w:t>儿童投资主基</w:t>
      </w:r>
      <w:proofErr w:type="gramStart"/>
      <w:r w:rsidR="00036B6D">
        <w:rPr>
          <w:rFonts w:hint="eastAsia"/>
        </w:rPr>
        <w:t>金案件</w:t>
      </w:r>
      <w:proofErr w:type="gramEnd"/>
      <w:r w:rsidR="00036B6D">
        <w:rPr>
          <w:rFonts w:hint="eastAsia"/>
        </w:rPr>
        <w:t>的</w:t>
      </w:r>
      <w:r w:rsidR="002F4990" w:rsidRPr="002A2A1C">
        <w:rPr>
          <w:rFonts w:hint="eastAsia"/>
        </w:rPr>
        <w:t>价值</w:t>
      </w:r>
      <w:bookmarkEnd w:id="20"/>
    </w:p>
    <w:p w:rsidR="00036B6D" w:rsidRPr="00036B6D" w:rsidRDefault="005E0CEE" w:rsidP="00F50027">
      <w:pPr>
        <w:pStyle w:val="2"/>
        <w:ind w:firstLine="562"/>
      </w:pPr>
      <w:bookmarkStart w:id="21" w:name="_Toc492587018"/>
      <w:r>
        <w:t>5</w:t>
      </w:r>
      <w:r w:rsidR="00036B6D" w:rsidRPr="002A2A1C">
        <w:rPr>
          <w:rFonts w:hint="eastAsia"/>
        </w:rPr>
        <w:t>.1</w:t>
      </w:r>
      <w:r w:rsidR="00036B6D">
        <w:rPr>
          <w:rFonts w:hint="eastAsia"/>
        </w:rPr>
        <w:t>法律价值</w:t>
      </w:r>
      <w:bookmarkEnd w:id="21"/>
    </w:p>
    <w:p w:rsidR="002F4990" w:rsidRPr="002A2A1C" w:rsidRDefault="002F4990" w:rsidP="00E805BC">
      <w:pPr>
        <w:ind w:firstLine="480"/>
      </w:pPr>
      <w:r w:rsidRPr="002A2A1C">
        <w:rPr>
          <w:rFonts w:hint="eastAsia"/>
        </w:rPr>
        <w:t>2017</w:t>
      </w:r>
      <w:r w:rsidRPr="002A2A1C">
        <w:rPr>
          <w:rFonts w:hint="eastAsia"/>
        </w:rPr>
        <w:t>年</w:t>
      </w:r>
      <w:r w:rsidRPr="002A2A1C">
        <w:rPr>
          <w:rFonts w:hint="eastAsia"/>
        </w:rPr>
        <w:t>6</w:t>
      </w:r>
      <w:r w:rsidRPr="002A2A1C">
        <w:rPr>
          <w:rFonts w:hint="eastAsia"/>
        </w:rPr>
        <w:t>月</w:t>
      </w:r>
      <w:r w:rsidRPr="002A2A1C">
        <w:rPr>
          <w:rFonts w:hint="eastAsia"/>
        </w:rPr>
        <w:t>13</w:t>
      </w:r>
      <w:r w:rsidRPr="002A2A1C">
        <w:rPr>
          <w:rFonts w:hint="eastAsia"/>
        </w:rPr>
        <w:t>日最高人民法院发布了行政审判十大典型案例（第一批）</w:t>
      </w:r>
      <w:r w:rsidR="000C66BB">
        <w:rPr>
          <w:rFonts w:hint="eastAsia"/>
        </w:rPr>
        <w:t>，</w:t>
      </w:r>
      <w:r w:rsidRPr="002A2A1C">
        <w:rPr>
          <w:rFonts w:hint="eastAsia"/>
        </w:rPr>
        <w:t>其中就包括了儿童投资</w:t>
      </w:r>
      <w:proofErr w:type="gramStart"/>
      <w:r w:rsidRPr="002A2A1C">
        <w:rPr>
          <w:rFonts w:hint="eastAsia"/>
        </w:rPr>
        <w:t>主基金诉杭州市</w:t>
      </w:r>
      <w:proofErr w:type="gramEnd"/>
      <w:r w:rsidRPr="002A2A1C">
        <w:rPr>
          <w:rFonts w:hint="eastAsia"/>
        </w:rPr>
        <w:t>西湖区国家税务局税务征收案</w:t>
      </w:r>
      <w:r w:rsidR="00E17D38" w:rsidRPr="002A2A1C">
        <w:rPr>
          <w:rFonts w:hint="eastAsia"/>
        </w:rPr>
        <w:t>。</w:t>
      </w:r>
      <w:r w:rsidR="005F13FE" w:rsidRPr="002A2A1C">
        <w:rPr>
          <w:rFonts w:hint="eastAsia"/>
        </w:rPr>
        <w:t>本案在</w:t>
      </w:r>
      <w:bookmarkStart w:id="22" w:name="_Hlk492569264"/>
      <w:r w:rsidR="005F13FE" w:rsidRPr="002A2A1C">
        <w:rPr>
          <w:rFonts w:hint="eastAsia"/>
        </w:rPr>
        <w:t>一定程度上也催化了</w:t>
      </w:r>
      <w:r w:rsidR="005F13FE" w:rsidRPr="002A2A1C">
        <w:t>《关于非居民企业间接转让财产企业所得税若干问题的公告》（国税函</w:t>
      </w:r>
      <w:r w:rsidR="005F13FE" w:rsidRPr="002A2A1C">
        <w:t>[2015]7</w:t>
      </w:r>
      <w:r w:rsidR="005F13FE" w:rsidRPr="002A2A1C">
        <w:t>号）（以下简称</w:t>
      </w:r>
      <w:r w:rsidR="005F13FE" w:rsidRPr="002A2A1C">
        <w:t>7</w:t>
      </w:r>
      <w:r w:rsidR="005F13FE" w:rsidRPr="002A2A1C">
        <w:t>号文）</w:t>
      </w:r>
      <w:r w:rsidR="005F13FE" w:rsidRPr="002A2A1C">
        <w:rPr>
          <w:rFonts w:hint="eastAsia"/>
        </w:rPr>
        <w:t>的制定和出台。</w:t>
      </w:r>
    </w:p>
    <w:bookmarkEnd w:id="22"/>
    <w:p w:rsidR="00C253EA" w:rsidRDefault="005F13FE" w:rsidP="00E805BC">
      <w:pPr>
        <w:ind w:firstLine="480"/>
      </w:pPr>
      <w:r w:rsidRPr="002A2A1C">
        <w:rPr>
          <w:rFonts w:hint="eastAsia"/>
        </w:rPr>
        <w:t>本案</w:t>
      </w:r>
      <w:r w:rsidR="002F4990" w:rsidRPr="002A2A1C">
        <w:rPr>
          <w:rFonts w:hint="eastAsia"/>
        </w:rPr>
        <w:t>作为最高人民法院“行政审判十大典型案例”之一</w:t>
      </w:r>
      <w:r w:rsidR="000C66BB">
        <w:rPr>
          <w:rFonts w:hint="eastAsia"/>
        </w:rPr>
        <w:t>，</w:t>
      </w:r>
      <w:r w:rsidR="002F4990" w:rsidRPr="002A2A1C">
        <w:rPr>
          <w:rFonts w:hint="eastAsia"/>
        </w:rPr>
        <w:t>是因为“本案事关税收法律法规和政策的把握</w:t>
      </w:r>
      <w:r w:rsidR="000C66BB">
        <w:rPr>
          <w:rFonts w:hint="eastAsia"/>
        </w:rPr>
        <w:t>，</w:t>
      </w:r>
      <w:r w:rsidR="002F4990" w:rsidRPr="002A2A1C">
        <w:rPr>
          <w:rFonts w:hint="eastAsia"/>
        </w:rPr>
        <w:t>事关如何看待中华人民共和国税务机关处理类似问题的基本规则和标准</w:t>
      </w:r>
      <w:r w:rsidR="000C66BB">
        <w:rPr>
          <w:rFonts w:hint="eastAsia"/>
        </w:rPr>
        <w:t>，</w:t>
      </w:r>
      <w:r w:rsidR="002F4990" w:rsidRPr="002A2A1C">
        <w:rPr>
          <w:rFonts w:hint="eastAsia"/>
        </w:rPr>
        <w:t>事关中国政府涉外经贸管理声誉和外国公司与中国公司合法权益的平等保护”。</w:t>
      </w:r>
    </w:p>
    <w:p w:rsidR="002E4DD5" w:rsidRPr="00DD1FEF" w:rsidRDefault="00C253EA" w:rsidP="00E805BC">
      <w:pPr>
        <w:ind w:firstLine="480"/>
      </w:pPr>
      <w:r>
        <w:rPr>
          <w:rFonts w:hint="eastAsia"/>
        </w:rPr>
        <w:t>本案的意义在于</w:t>
      </w:r>
      <w:r w:rsidR="000C66BB">
        <w:rPr>
          <w:rFonts w:hint="eastAsia"/>
        </w:rPr>
        <w:t>，</w:t>
      </w:r>
      <w:r w:rsidR="00E7576C" w:rsidRPr="002A2A1C">
        <w:rPr>
          <w:rFonts w:hint="eastAsia"/>
        </w:rPr>
        <w:t>人民法院针对借境外公司注册成立公司实施资产交易、而实际所得来源为境内的刻意避税情形</w:t>
      </w:r>
      <w:r w:rsidR="000C66BB">
        <w:rPr>
          <w:rFonts w:hint="eastAsia"/>
        </w:rPr>
        <w:t>，</w:t>
      </w:r>
      <w:r w:rsidR="00E7576C" w:rsidRPr="002A2A1C">
        <w:rPr>
          <w:rFonts w:hint="eastAsia"/>
        </w:rPr>
        <w:t>以裁判方式彰显了中国税收主权和通行的国际征税规则</w:t>
      </w:r>
      <w:r w:rsidR="000C66BB">
        <w:rPr>
          <w:rFonts w:hint="eastAsia"/>
        </w:rPr>
        <w:t>，</w:t>
      </w:r>
      <w:r w:rsidR="00E7576C" w:rsidRPr="002A2A1C">
        <w:rPr>
          <w:rFonts w:hint="eastAsia"/>
        </w:rPr>
        <w:t>保护了涉外经贸领域的国家合法权益。随着对外经贸规模日益扩大和交往方式不断增多</w:t>
      </w:r>
      <w:r w:rsidR="000C66BB">
        <w:rPr>
          <w:rFonts w:hint="eastAsia"/>
        </w:rPr>
        <w:t>，</w:t>
      </w:r>
      <w:r w:rsidR="00E7576C" w:rsidRPr="002A2A1C">
        <w:rPr>
          <w:rFonts w:hint="eastAsia"/>
        </w:rPr>
        <w:t>明确对各类市场主体股权转让、融资等行为的征税准则</w:t>
      </w:r>
      <w:r w:rsidR="000C66BB">
        <w:rPr>
          <w:rFonts w:hint="eastAsia"/>
        </w:rPr>
        <w:t>，</w:t>
      </w:r>
      <w:r w:rsidR="00E7576C" w:rsidRPr="002A2A1C">
        <w:rPr>
          <w:rFonts w:hint="eastAsia"/>
        </w:rPr>
        <w:t>与国家重大经济安全和经贸利益息息相关</w:t>
      </w:r>
      <w:r w:rsidR="000C66BB">
        <w:rPr>
          <w:rFonts w:hint="eastAsia"/>
        </w:rPr>
        <w:t>，</w:t>
      </w:r>
      <w:r w:rsidR="00E7576C" w:rsidRPr="002A2A1C">
        <w:rPr>
          <w:rFonts w:hint="eastAsia"/>
        </w:rPr>
        <w:t>具有迫切的现实意义和长远的战略意义。</w:t>
      </w:r>
    </w:p>
    <w:p w:rsidR="00720855" w:rsidRPr="002A2A1C" w:rsidRDefault="00DD1FEF" w:rsidP="00E805BC">
      <w:pPr>
        <w:ind w:firstLine="480"/>
      </w:pPr>
      <w:r>
        <w:rPr>
          <w:rFonts w:hint="eastAsia"/>
        </w:rPr>
        <w:t>本案催生的７号文，</w:t>
      </w:r>
      <w:r w:rsidRPr="002A2A1C">
        <w:rPr>
          <w:rFonts w:hint="eastAsia"/>
        </w:rPr>
        <w:t>强调在</w:t>
      </w:r>
      <w:r>
        <w:rPr>
          <w:rFonts w:hint="eastAsia"/>
        </w:rPr>
        <w:t>定性非居民企业间接转让股权的实质时需</w:t>
      </w:r>
      <w:r w:rsidRPr="002A2A1C">
        <w:rPr>
          <w:rFonts w:hint="eastAsia"/>
        </w:rPr>
        <w:t>整体考虑与交易相关的因素</w:t>
      </w:r>
      <w:r>
        <w:rPr>
          <w:rFonts w:hint="eastAsia"/>
        </w:rPr>
        <w:t>，并且</w:t>
      </w:r>
      <w:r w:rsidR="00630EF6" w:rsidRPr="002A2A1C">
        <w:rPr>
          <w:rFonts w:hint="eastAsia"/>
        </w:rPr>
        <w:t>国家税务总局首次引入“可替代性”测试来判断间接架构安排是否只是为了获取税收利益而设计。中国税务机关将评估直接投资、直接转让是否可以取代间接投资、间接转让的可能性。</w:t>
      </w:r>
      <w:r>
        <w:rPr>
          <w:rFonts w:hint="eastAsia"/>
        </w:rPr>
        <w:t>而且</w:t>
      </w:r>
      <w:r w:rsidR="00720855" w:rsidRPr="002A2A1C">
        <w:t>7</w:t>
      </w:r>
      <w:r w:rsidR="00AF57FC">
        <w:t>号</w:t>
      </w:r>
      <w:r w:rsidR="00AF57FC">
        <w:rPr>
          <w:rFonts w:hint="eastAsia"/>
        </w:rPr>
        <w:t>文</w:t>
      </w:r>
      <w:r w:rsidR="00720855" w:rsidRPr="002A2A1C">
        <w:t>为符合条件的集团内重组提供了豁免</w:t>
      </w:r>
      <w:r w:rsidR="00520964">
        <w:rPr>
          <w:rStyle w:val="a8"/>
          <w:rFonts w:cs="Times New Roman"/>
          <w:color w:val="000000"/>
          <w:kern w:val="0"/>
          <w:szCs w:val="24"/>
        </w:rPr>
        <w:footnoteReference w:id="9"/>
      </w:r>
      <w:r w:rsidR="000C66BB">
        <w:rPr>
          <w:rFonts w:hint="eastAsia"/>
        </w:rPr>
        <w:t>，</w:t>
      </w:r>
      <w:r w:rsidR="00F00190" w:rsidRPr="002A2A1C">
        <w:rPr>
          <w:rFonts w:hint="eastAsia"/>
        </w:rPr>
        <w:t>这于企业来说也是乐见的。</w:t>
      </w:r>
    </w:p>
    <w:p w:rsidR="00FC3A59" w:rsidRPr="00FC3A59" w:rsidRDefault="00FC3A59" w:rsidP="00E805BC">
      <w:pPr>
        <w:ind w:firstLine="480"/>
      </w:pPr>
      <w:r>
        <w:rPr>
          <w:rFonts w:hint="eastAsia"/>
        </w:rPr>
        <w:t>在实务中，税务机关一般通过评估经济实质来</w:t>
      </w:r>
      <w:r w:rsidRPr="009545AE">
        <w:rPr>
          <w:rFonts w:hint="eastAsia"/>
        </w:rPr>
        <w:t>判断交易目的，即</w:t>
      </w:r>
      <w:r>
        <w:rPr>
          <w:rFonts w:hint="eastAsia"/>
        </w:rPr>
        <w:t>如果中间控股公司不具备经济实质，则该项交易很可能就预设为不具有合理商业目的。</w:t>
      </w:r>
      <w:r w:rsidR="00DD1FEF">
        <w:rPr>
          <w:rFonts w:hint="eastAsia"/>
        </w:rPr>
        <w:t>但是</w:t>
      </w:r>
      <w:r w:rsidR="00132095" w:rsidRPr="002A2A1C">
        <w:t>7</w:t>
      </w:r>
      <w:r w:rsidR="00AF57FC">
        <w:t>号</w:t>
      </w:r>
      <w:r w:rsidR="00AF57FC">
        <w:rPr>
          <w:rFonts w:hint="eastAsia"/>
        </w:rPr>
        <w:t>文</w:t>
      </w:r>
      <w:r w:rsidR="005D1DE8" w:rsidRPr="002A2A1C">
        <w:rPr>
          <w:rFonts w:hint="eastAsia"/>
        </w:rPr>
        <w:t>的规定</w:t>
      </w:r>
      <w:r w:rsidR="00132095" w:rsidRPr="002A2A1C">
        <w:rPr>
          <w:rFonts w:hint="eastAsia"/>
        </w:rPr>
        <w:t>依然存在模糊之处</w:t>
      </w:r>
      <w:r w:rsidR="000C66BB">
        <w:rPr>
          <w:rFonts w:hint="eastAsia"/>
        </w:rPr>
        <w:t>，</w:t>
      </w:r>
      <w:r w:rsidR="00132095" w:rsidRPr="002A2A1C">
        <w:rPr>
          <w:rFonts w:hint="eastAsia"/>
        </w:rPr>
        <w:t>导致</w:t>
      </w:r>
      <w:r w:rsidR="005A6DC1" w:rsidRPr="002A2A1C">
        <w:rPr>
          <w:rFonts w:hint="eastAsia"/>
        </w:rPr>
        <w:t>“商业目的”</w:t>
      </w:r>
      <w:r w:rsidR="003A5160" w:rsidRPr="002A2A1C">
        <w:rPr>
          <w:rFonts w:hint="eastAsia"/>
        </w:rPr>
        <w:t>的判定</w:t>
      </w:r>
      <w:r w:rsidR="005A6DC1" w:rsidRPr="002A2A1C">
        <w:rPr>
          <w:rFonts w:hint="eastAsia"/>
        </w:rPr>
        <w:t>依然存在主观性。</w:t>
      </w:r>
    </w:p>
    <w:p w:rsidR="001F4C5E" w:rsidRDefault="005A6DC1" w:rsidP="00E805BC">
      <w:pPr>
        <w:ind w:firstLine="480"/>
      </w:pPr>
      <w:r w:rsidRPr="002A2A1C">
        <w:rPr>
          <w:rFonts w:hint="eastAsia"/>
        </w:rPr>
        <w:t>例如</w:t>
      </w:r>
      <w:r w:rsidR="00FC3A59">
        <w:rPr>
          <w:rFonts w:hint="eastAsia"/>
        </w:rPr>
        <w:t>，</w:t>
      </w:r>
      <w:r w:rsidRPr="002A2A1C">
        <w:rPr>
          <w:rFonts w:hint="eastAsia"/>
        </w:rPr>
        <w:t>判断“境外企业资产是否主要由直接或间接在中国境内的投资构成”</w:t>
      </w:r>
      <w:r w:rsidR="000C66BB">
        <w:rPr>
          <w:rFonts w:hint="eastAsia"/>
        </w:rPr>
        <w:t>，</w:t>
      </w:r>
      <w:r w:rsidRPr="002A2A1C">
        <w:rPr>
          <w:rFonts w:hint="eastAsia"/>
        </w:rPr>
        <w:t>但是</w:t>
      </w:r>
      <w:r w:rsidR="00AA4B1E">
        <w:rPr>
          <w:rFonts w:hint="eastAsia"/>
        </w:rPr>
        <w:t>7</w:t>
      </w:r>
      <w:r w:rsidR="00AA4B1E">
        <w:rPr>
          <w:rFonts w:hint="eastAsia"/>
        </w:rPr>
        <w:t>号文</w:t>
      </w:r>
      <w:r w:rsidR="00132095" w:rsidRPr="002A2A1C">
        <w:t>并没有对</w:t>
      </w:r>
      <w:r w:rsidR="00AA4B1E">
        <w:rPr>
          <w:rFonts w:hint="eastAsia"/>
        </w:rPr>
        <w:t>“</w:t>
      </w:r>
      <w:r w:rsidR="00AA4B1E" w:rsidRPr="002A2A1C">
        <w:t>主要</w:t>
      </w:r>
      <w:r w:rsidR="00AA4B1E">
        <w:rPr>
          <w:rFonts w:hint="eastAsia"/>
        </w:rPr>
        <w:t>”</w:t>
      </w:r>
      <w:r w:rsidR="00132095" w:rsidRPr="002A2A1C">
        <w:t>进行一个具体的量化</w:t>
      </w:r>
      <w:r w:rsidR="000C66BB">
        <w:t>，</w:t>
      </w:r>
      <w:r w:rsidR="00132095" w:rsidRPr="002A2A1C">
        <w:t>譬如大于</w:t>
      </w:r>
      <w:r w:rsidR="00132095" w:rsidRPr="002A2A1C">
        <w:t>50%</w:t>
      </w:r>
      <w:r w:rsidRPr="002A2A1C">
        <w:rPr>
          <w:rFonts w:hint="eastAsia"/>
        </w:rPr>
        <w:t>；对于“境外企业股权</w:t>
      </w:r>
      <w:r w:rsidRPr="002A2A1C">
        <w:rPr>
          <w:rFonts w:hint="eastAsia"/>
        </w:rPr>
        <w:t>75%</w:t>
      </w:r>
      <w:r w:rsidRPr="002A2A1C">
        <w:rPr>
          <w:rFonts w:hint="eastAsia"/>
        </w:rPr>
        <w:t>以上价值直接或间接来自于中国应税财产”</w:t>
      </w:r>
      <w:r w:rsidR="000C66BB">
        <w:rPr>
          <w:rFonts w:hint="eastAsia"/>
        </w:rPr>
        <w:t>，</w:t>
      </w:r>
      <w:r w:rsidRPr="002A2A1C">
        <w:rPr>
          <w:rFonts w:hint="eastAsia"/>
        </w:rPr>
        <w:t>这“价值”究竟是指股权的市场价值、账面价值还是评估报告中的价值</w:t>
      </w:r>
      <w:r w:rsidR="000C66BB">
        <w:rPr>
          <w:rFonts w:hint="eastAsia"/>
        </w:rPr>
        <w:t>，</w:t>
      </w:r>
      <w:r w:rsidRPr="002A2A1C">
        <w:rPr>
          <w:rFonts w:hint="eastAsia"/>
        </w:rPr>
        <w:t>7</w:t>
      </w:r>
      <w:r w:rsidR="00AF57FC">
        <w:rPr>
          <w:rFonts w:hint="eastAsia"/>
        </w:rPr>
        <w:t>号文</w:t>
      </w:r>
      <w:r w:rsidR="009C6468" w:rsidRPr="002A2A1C">
        <w:rPr>
          <w:rFonts w:hint="eastAsia"/>
        </w:rPr>
        <w:t>并未明确；并且</w:t>
      </w:r>
      <w:r w:rsidR="000C66BB">
        <w:rPr>
          <w:rFonts w:hint="eastAsia"/>
        </w:rPr>
        <w:t>，</w:t>
      </w:r>
      <w:r w:rsidR="009C6468" w:rsidRPr="002A2A1C">
        <w:rPr>
          <w:rFonts w:hint="eastAsia"/>
        </w:rPr>
        <w:t>在</w:t>
      </w:r>
      <w:r w:rsidR="009C6468" w:rsidRPr="002A2A1C">
        <w:rPr>
          <w:rFonts w:hint="eastAsia"/>
        </w:rPr>
        <w:lastRenderedPageBreak/>
        <w:t>指标中多次提到的间接如何来衡量也并没有进一步规定</w:t>
      </w:r>
      <w:r w:rsidR="000C66BB">
        <w:rPr>
          <w:rFonts w:hint="eastAsia"/>
        </w:rPr>
        <w:t>，</w:t>
      </w:r>
      <w:r w:rsidR="009C6468" w:rsidRPr="002A2A1C">
        <w:rPr>
          <w:rFonts w:hint="eastAsia"/>
        </w:rPr>
        <w:t>这使得判定的结果更加难以预测。</w:t>
      </w:r>
    </w:p>
    <w:p w:rsidR="00F13F1A" w:rsidRPr="00F13F1A" w:rsidRDefault="00F13F1A" w:rsidP="00E805BC">
      <w:pPr>
        <w:ind w:firstLine="480"/>
      </w:pPr>
      <w:r>
        <w:rPr>
          <w:rFonts w:hint="eastAsia"/>
        </w:rPr>
        <w:t>国家</w:t>
      </w:r>
      <w:r w:rsidRPr="00F13F1A">
        <w:rPr>
          <w:rFonts w:hint="eastAsia"/>
        </w:rPr>
        <w:t>税务总局将</w:t>
      </w:r>
      <w:r>
        <w:rPr>
          <w:rFonts w:hint="eastAsia"/>
        </w:rPr>
        <w:t>“</w:t>
      </w:r>
      <w:r w:rsidRPr="00F13F1A">
        <w:rPr>
          <w:rFonts w:hint="eastAsia"/>
        </w:rPr>
        <w:t>为获</w:t>
      </w:r>
      <w:r>
        <w:rPr>
          <w:rFonts w:hint="eastAsia"/>
        </w:rPr>
        <w:t>取税收利益”作为反驳合理商业目的的证据，但事实上在真实商业环</w:t>
      </w:r>
      <w:r w:rsidRPr="00F13F1A">
        <w:rPr>
          <w:rFonts w:hint="eastAsia"/>
        </w:rPr>
        <w:t>境中，某些安排确</w:t>
      </w:r>
      <w:r>
        <w:rPr>
          <w:rFonts w:hint="eastAsia"/>
        </w:rPr>
        <w:t>实具有很确切的商业目的，而税收利益的获得往往仅仅是附带的。此外，</w:t>
      </w:r>
      <w:r w:rsidRPr="00F13F1A">
        <w:rPr>
          <w:rFonts w:hint="eastAsia"/>
        </w:rPr>
        <w:t>管理人员在做</w:t>
      </w:r>
      <w:r>
        <w:rPr>
          <w:rFonts w:hint="eastAsia"/>
        </w:rPr>
        <w:t>出决策时很难忽略税收成本。然而从</w:t>
      </w:r>
      <w:r w:rsidRPr="00F13F1A">
        <w:rPr>
          <w:rFonts w:hint="eastAsia"/>
        </w:rPr>
        <w:t>积极的一面看，国家税务总局强调应当整体考虑各项因素，这也意味着即使</w:t>
      </w:r>
      <w:r>
        <w:rPr>
          <w:rFonts w:hint="eastAsia"/>
        </w:rPr>
        <w:t>一项间接转</w:t>
      </w:r>
      <w:r w:rsidRPr="00F13F1A">
        <w:rPr>
          <w:rFonts w:hint="eastAsia"/>
        </w:rPr>
        <w:t>让安排带来税收利</w:t>
      </w:r>
      <w:r>
        <w:rPr>
          <w:rFonts w:hint="eastAsia"/>
        </w:rPr>
        <w:t>益，也不能仅基于此单一的因素就判定该项间接转让交易应当被重新</w:t>
      </w:r>
      <w:r w:rsidRPr="00F13F1A">
        <w:rPr>
          <w:rFonts w:hint="eastAsia"/>
        </w:rPr>
        <w:t>定性</w:t>
      </w:r>
      <w:r>
        <w:rPr>
          <w:rFonts w:hint="eastAsia"/>
        </w:rPr>
        <w:t>。</w:t>
      </w:r>
    </w:p>
    <w:p w:rsidR="001F4C5E" w:rsidRPr="002A2A1C" w:rsidRDefault="009C6468" w:rsidP="00E805BC">
      <w:pPr>
        <w:ind w:firstLine="480"/>
      </w:pPr>
      <w:r w:rsidRPr="002A2A1C">
        <w:rPr>
          <w:rFonts w:hint="eastAsia"/>
        </w:rPr>
        <w:t>总而言之</w:t>
      </w:r>
      <w:r w:rsidR="000C66BB">
        <w:rPr>
          <w:rFonts w:hint="eastAsia"/>
        </w:rPr>
        <w:t>，</w:t>
      </w:r>
      <w:r w:rsidRPr="002A2A1C">
        <w:rPr>
          <w:rFonts w:hint="eastAsia"/>
        </w:rPr>
        <w:t>商业目的的评估依然存在很大的</w:t>
      </w:r>
      <w:r w:rsidR="006F5E4F" w:rsidRPr="002A2A1C">
        <w:rPr>
          <w:rFonts w:hint="eastAsia"/>
        </w:rPr>
        <w:t>主观性</w:t>
      </w:r>
      <w:r w:rsidR="000C66BB">
        <w:rPr>
          <w:rFonts w:hint="eastAsia"/>
        </w:rPr>
        <w:t>，</w:t>
      </w:r>
      <w:r w:rsidRPr="002A2A1C">
        <w:rPr>
          <w:rFonts w:hint="eastAsia"/>
        </w:rPr>
        <w:t>具有较强的技术性。纳税人</w:t>
      </w:r>
      <w:r w:rsidR="006F5E4F" w:rsidRPr="002A2A1C">
        <w:rPr>
          <w:rFonts w:hint="eastAsia"/>
        </w:rPr>
        <w:t>想要</w:t>
      </w:r>
      <w:r w:rsidRPr="002A2A1C">
        <w:rPr>
          <w:rFonts w:hint="eastAsia"/>
        </w:rPr>
        <w:t>证明其商业目的合理性并非易事</w:t>
      </w:r>
      <w:r w:rsidR="000C66BB">
        <w:rPr>
          <w:rFonts w:hint="eastAsia"/>
        </w:rPr>
        <w:t>，</w:t>
      </w:r>
      <w:r w:rsidRPr="002A2A1C">
        <w:rPr>
          <w:rFonts w:hint="eastAsia"/>
        </w:rPr>
        <w:t>而税务机关实施商业目的的判断也存在执行难度。</w:t>
      </w:r>
    </w:p>
    <w:p w:rsidR="001F4C5E" w:rsidRDefault="00DD1FEF" w:rsidP="00E805BC">
      <w:pPr>
        <w:ind w:firstLine="480"/>
      </w:pPr>
      <w:r>
        <w:rPr>
          <w:rFonts w:hint="eastAsia"/>
        </w:rPr>
        <w:t>综上所述</w:t>
      </w:r>
      <w:r w:rsidR="000C66BB">
        <w:rPr>
          <w:rFonts w:hint="eastAsia"/>
        </w:rPr>
        <w:t>，</w:t>
      </w:r>
      <w:r w:rsidR="003E06E8" w:rsidRPr="002A2A1C">
        <w:rPr>
          <w:rFonts w:hint="eastAsia"/>
        </w:rPr>
        <w:t>“合理的商业目的”中“合理”与否的判断仍是极富争议的问题</w:t>
      </w:r>
      <w:r w:rsidR="000C66BB">
        <w:rPr>
          <w:rFonts w:hint="eastAsia"/>
        </w:rPr>
        <w:t>，</w:t>
      </w:r>
      <w:r w:rsidR="003E06E8" w:rsidRPr="002A2A1C">
        <w:rPr>
          <w:rFonts w:hint="eastAsia"/>
        </w:rPr>
        <w:t>因而即使</w:t>
      </w:r>
      <w:r w:rsidR="003E06E8" w:rsidRPr="002A2A1C">
        <w:rPr>
          <w:rFonts w:hint="eastAsia"/>
        </w:rPr>
        <w:t>7</w:t>
      </w:r>
      <w:r w:rsidR="00AF57FC">
        <w:rPr>
          <w:rFonts w:hint="eastAsia"/>
        </w:rPr>
        <w:t>号文</w:t>
      </w:r>
      <w:r w:rsidR="003E06E8" w:rsidRPr="002A2A1C">
        <w:rPr>
          <w:rFonts w:hint="eastAsia"/>
        </w:rPr>
        <w:t>已经出台并且实行</w:t>
      </w:r>
      <w:r w:rsidR="000C66BB">
        <w:rPr>
          <w:rFonts w:hint="eastAsia"/>
        </w:rPr>
        <w:t>，</w:t>
      </w:r>
      <w:r w:rsidR="003E06E8" w:rsidRPr="002A2A1C">
        <w:rPr>
          <w:rFonts w:hint="eastAsia"/>
        </w:rPr>
        <w:t>最高人民法院对本案的裁决依然具有重大意义</w:t>
      </w:r>
      <w:r w:rsidR="00036B6D">
        <w:rPr>
          <w:rFonts w:hint="eastAsia"/>
        </w:rPr>
        <w:t>。</w:t>
      </w:r>
    </w:p>
    <w:p w:rsidR="00F50027" w:rsidRDefault="00F50027" w:rsidP="002A2A1C">
      <w:pPr>
        <w:ind w:firstLine="480"/>
        <w:rPr>
          <w:rFonts w:cs="Times New Roman"/>
          <w:color w:val="000000"/>
          <w:kern w:val="0"/>
          <w:szCs w:val="24"/>
        </w:rPr>
      </w:pPr>
    </w:p>
    <w:p w:rsidR="00036B6D" w:rsidRPr="00036B6D" w:rsidRDefault="005E0CEE" w:rsidP="00F50027">
      <w:pPr>
        <w:pStyle w:val="2"/>
        <w:ind w:firstLine="562"/>
      </w:pPr>
      <w:bookmarkStart w:id="23" w:name="_Toc492587019"/>
      <w:r>
        <w:t>5</w:t>
      </w:r>
      <w:r w:rsidR="00036B6D">
        <w:rPr>
          <w:rFonts w:hint="eastAsia"/>
        </w:rPr>
        <w:t>.</w:t>
      </w:r>
      <w:r w:rsidR="00036B6D">
        <w:t>2</w:t>
      </w:r>
      <w:r w:rsidR="0058296D">
        <w:rPr>
          <w:rFonts w:hint="eastAsia"/>
        </w:rPr>
        <w:t>对非居民企业的启示</w:t>
      </w:r>
      <w:bookmarkEnd w:id="23"/>
    </w:p>
    <w:p w:rsidR="00036B6D" w:rsidRPr="002A2A1C" w:rsidRDefault="00036B6D" w:rsidP="00E805BC">
      <w:pPr>
        <w:ind w:firstLine="480"/>
      </w:pPr>
      <w:r>
        <w:rPr>
          <w:rFonts w:hint="eastAsia"/>
        </w:rPr>
        <w:t>对于非居民企业来说</w:t>
      </w:r>
      <w:r w:rsidR="000C66BB">
        <w:rPr>
          <w:rFonts w:hint="eastAsia"/>
        </w:rPr>
        <w:t>，</w:t>
      </w:r>
      <w:r>
        <w:rPr>
          <w:rFonts w:hint="eastAsia"/>
        </w:rPr>
        <w:t>反避税规定的逐步完善</w:t>
      </w:r>
      <w:r w:rsidR="000C66BB">
        <w:rPr>
          <w:rFonts w:hint="eastAsia"/>
        </w:rPr>
        <w:t>，</w:t>
      </w:r>
      <w:r w:rsidRPr="002A2A1C">
        <w:rPr>
          <w:rFonts w:hint="eastAsia"/>
        </w:rPr>
        <w:t>增强了税收政策的确定性和可操作性</w:t>
      </w:r>
      <w:r w:rsidR="000C66BB">
        <w:rPr>
          <w:rFonts w:hint="eastAsia"/>
        </w:rPr>
        <w:t>，</w:t>
      </w:r>
      <w:r>
        <w:rPr>
          <w:rFonts w:hint="eastAsia"/>
        </w:rPr>
        <w:t>同时也提醒着纳税人</w:t>
      </w:r>
      <w:r w:rsidR="000C66BB">
        <w:rPr>
          <w:rFonts w:hint="eastAsia"/>
        </w:rPr>
        <w:t>，</w:t>
      </w:r>
      <w:r>
        <w:rPr>
          <w:rFonts w:hint="eastAsia"/>
        </w:rPr>
        <w:t>筹划需谨慎。</w:t>
      </w:r>
      <w:r w:rsidRPr="002A2A1C">
        <w:rPr>
          <w:rFonts w:hint="eastAsia"/>
        </w:rPr>
        <w:t>在进行税收筹划时</w:t>
      </w:r>
      <w:r w:rsidR="000C66BB">
        <w:rPr>
          <w:rFonts w:hint="eastAsia"/>
        </w:rPr>
        <w:t>，</w:t>
      </w:r>
      <w:r w:rsidRPr="002A2A1C">
        <w:rPr>
          <w:rFonts w:hint="eastAsia"/>
        </w:rPr>
        <w:t>企业</w:t>
      </w:r>
      <w:r>
        <w:rPr>
          <w:rFonts w:hint="eastAsia"/>
        </w:rPr>
        <w:t>需要保存合理商业目的的</w:t>
      </w:r>
      <w:r w:rsidRPr="002A2A1C">
        <w:rPr>
          <w:rFonts w:hint="eastAsia"/>
        </w:rPr>
        <w:t>有力</w:t>
      </w:r>
      <w:r>
        <w:rPr>
          <w:rFonts w:hint="eastAsia"/>
        </w:rPr>
        <w:t>证据</w:t>
      </w:r>
      <w:r w:rsidR="000C66BB">
        <w:rPr>
          <w:rFonts w:hint="eastAsia"/>
        </w:rPr>
        <w:t>，</w:t>
      </w:r>
      <w:r>
        <w:rPr>
          <w:rFonts w:hint="eastAsia"/>
        </w:rPr>
        <w:t>以获得</w:t>
      </w:r>
      <w:r w:rsidRPr="002A2A1C">
        <w:rPr>
          <w:rFonts w:hint="eastAsia"/>
        </w:rPr>
        <w:t>法律法规支持</w:t>
      </w:r>
      <w:r w:rsidR="000C66BB">
        <w:rPr>
          <w:rFonts w:hint="eastAsia"/>
        </w:rPr>
        <w:t>，</w:t>
      </w:r>
      <w:r>
        <w:rPr>
          <w:rFonts w:hint="eastAsia"/>
        </w:rPr>
        <w:t>一旦陷入行政复议和行政诉讼</w:t>
      </w:r>
      <w:r w:rsidRPr="002A2A1C">
        <w:rPr>
          <w:rFonts w:hint="eastAsia"/>
        </w:rPr>
        <w:t>也能根据法律规定提供客观存在的有效证据。</w:t>
      </w:r>
    </w:p>
    <w:p w:rsidR="00054E1D" w:rsidRDefault="00036B6D" w:rsidP="00E805BC">
      <w:pPr>
        <w:ind w:firstLine="480"/>
        <w:sectPr w:rsidR="00054E1D">
          <w:headerReference w:type="default" r:id="rId24"/>
          <w:pgSz w:w="11906" w:h="16838"/>
          <w:pgMar w:top="1440" w:right="1800" w:bottom="1440" w:left="1800" w:header="851" w:footer="992" w:gutter="0"/>
          <w:cols w:space="425"/>
          <w:docGrid w:type="lines" w:linePitch="312"/>
        </w:sectPr>
      </w:pPr>
      <w:r w:rsidRPr="002A2A1C">
        <w:rPr>
          <w:rFonts w:hint="eastAsia"/>
        </w:rPr>
        <w:t>同时</w:t>
      </w:r>
      <w:r w:rsidR="000C66BB">
        <w:rPr>
          <w:rFonts w:hint="eastAsia"/>
        </w:rPr>
        <w:t>，</w:t>
      </w:r>
      <w:r w:rsidRPr="002A2A1C">
        <w:t>非居民企业</w:t>
      </w:r>
      <w:r w:rsidRPr="002A2A1C">
        <w:rPr>
          <w:rFonts w:hint="eastAsia"/>
        </w:rPr>
        <w:t>也可以根据法律规定</w:t>
      </w:r>
      <w:r w:rsidR="000C66BB">
        <w:rPr>
          <w:rFonts w:hint="eastAsia"/>
        </w:rPr>
        <w:t>，</w:t>
      </w:r>
      <w:r>
        <w:t>在协议中添加适当法律保障条款</w:t>
      </w:r>
      <w:r w:rsidR="000C66BB">
        <w:t>，</w:t>
      </w:r>
      <w:r>
        <w:t>以应对潜在的税务风险</w:t>
      </w:r>
      <w:r w:rsidRPr="002A2A1C">
        <w:rPr>
          <w:rFonts w:hint="eastAsia"/>
        </w:rPr>
        <w:t>。而除了审查现行架构、评估交易的税收风险之外</w:t>
      </w:r>
      <w:r w:rsidR="000C66BB">
        <w:rPr>
          <w:rFonts w:hint="eastAsia"/>
        </w:rPr>
        <w:t>，</w:t>
      </w:r>
      <w:r w:rsidRPr="002A2A1C">
        <w:rPr>
          <w:rFonts w:hint="eastAsia"/>
        </w:rPr>
        <w:t>需要股权转让交易的双方应对交易成本和风险进行综合评估</w:t>
      </w:r>
      <w:r w:rsidR="000C66BB">
        <w:rPr>
          <w:rFonts w:hint="eastAsia"/>
        </w:rPr>
        <w:t>，</w:t>
      </w:r>
      <w:r w:rsidRPr="002A2A1C">
        <w:t>并在投资架构设计、并购交易安排、文档准备、交易价格设定、补偿机制等方面未雨绸缪</w:t>
      </w:r>
      <w:r w:rsidR="000C66BB">
        <w:rPr>
          <w:rFonts w:hint="eastAsia"/>
        </w:rPr>
        <w:t>，</w:t>
      </w:r>
      <w:r w:rsidRPr="002A2A1C">
        <w:rPr>
          <w:rFonts w:hint="eastAsia"/>
        </w:rPr>
        <w:t>跨国公司也应当与税务顾问保持紧密联系</w:t>
      </w:r>
      <w:r w:rsidR="000C66BB">
        <w:rPr>
          <w:rFonts w:hint="eastAsia"/>
        </w:rPr>
        <w:t>，</w:t>
      </w:r>
      <w:r w:rsidRPr="002A2A1C">
        <w:rPr>
          <w:rFonts w:hint="eastAsia"/>
        </w:rPr>
        <w:t>与中国税务机关积极沟通</w:t>
      </w:r>
      <w:r w:rsidR="000C66BB">
        <w:rPr>
          <w:rFonts w:hint="eastAsia"/>
        </w:rPr>
        <w:t>，</w:t>
      </w:r>
      <w:r w:rsidRPr="002A2A1C">
        <w:rPr>
          <w:rFonts w:hint="eastAsia"/>
        </w:rPr>
        <w:t>以了解当地实践及税务机关的立场。</w:t>
      </w:r>
    </w:p>
    <w:p w:rsidR="00187157" w:rsidRPr="002A2A1C" w:rsidRDefault="005E0CEE" w:rsidP="00F50027">
      <w:pPr>
        <w:pStyle w:val="1"/>
        <w:ind w:firstLine="643"/>
      </w:pPr>
      <w:bookmarkStart w:id="24" w:name="_Toc492587020"/>
      <w:r>
        <w:lastRenderedPageBreak/>
        <w:t>6</w:t>
      </w:r>
      <w:r w:rsidR="00187157" w:rsidRPr="002A2A1C">
        <w:t xml:space="preserve"> </w:t>
      </w:r>
      <w:r w:rsidR="00516779" w:rsidRPr="002A2A1C">
        <w:rPr>
          <w:rFonts w:hint="eastAsia"/>
        </w:rPr>
        <w:t>前路与希望</w:t>
      </w:r>
      <w:bookmarkEnd w:id="24"/>
    </w:p>
    <w:p w:rsidR="00036B6D" w:rsidRPr="00036B6D" w:rsidRDefault="007D790E" w:rsidP="00E805BC">
      <w:pPr>
        <w:ind w:firstLine="480"/>
      </w:pPr>
      <w:r w:rsidRPr="002A2A1C">
        <w:rPr>
          <w:rFonts w:hint="eastAsia"/>
        </w:rPr>
        <w:t>近年来</w:t>
      </w:r>
      <w:r w:rsidR="000C66BB">
        <w:rPr>
          <w:rFonts w:hint="eastAsia"/>
        </w:rPr>
        <w:t>，</w:t>
      </w:r>
      <w:r w:rsidRPr="002A2A1C">
        <w:rPr>
          <w:rFonts w:hint="eastAsia"/>
        </w:rPr>
        <w:t>在全球打击税基侵蚀和利润转移（</w:t>
      </w:r>
      <w:r w:rsidRPr="002A2A1C">
        <w:t>BEPS</w:t>
      </w:r>
      <w:r w:rsidR="001B1EB0" w:rsidRPr="002A2A1C">
        <w:t>）的浪潮中</w:t>
      </w:r>
      <w:r w:rsidR="000C66BB">
        <w:t>，</w:t>
      </w:r>
      <w:r w:rsidR="001B1EB0" w:rsidRPr="002A2A1C">
        <w:rPr>
          <w:rFonts w:hint="eastAsia"/>
        </w:rPr>
        <w:t>我</w:t>
      </w:r>
      <w:r w:rsidRPr="002A2A1C">
        <w:t>国加大了反避税的力度</w:t>
      </w:r>
      <w:r w:rsidR="000C66BB">
        <w:t>，</w:t>
      </w:r>
      <w:r w:rsidRPr="002A2A1C">
        <w:t>先后出台多个法规对跨国公司利用转让定价、资本弱化、成本分摊、受控外国公司、滥用税收协定等形式避税安排进行规范。</w:t>
      </w:r>
      <w:r w:rsidR="0082363B" w:rsidRPr="002A2A1C">
        <w:t>7</w:t>
      </w:r>
      <w:r w:rsidR="00AF57FC">
        <w:t>号</w:t>
      </w:r>
      <w:r w:rsidR="00AF57FC">
        <w:rPr>
          <w:rFonts w:hint="eastAsia"/>
        </w:rPr>
        <w:t>文</w:t>
      </w:r>
      <w:r w:rsidR="0082363B" w:rsidRPr="002A2A1C">
        <w:t>是反避税规则在间接转让中国应税财产交易方面的具体应用。</w:t>
      </w:r>
      <w:r w:rsidR="00036B6D" w:rsidRPr="002A2A1C">
        <w:rPr>
          <w:rFonts w:hint="eastAsia"/>
        </w:rPr>
        <w:t>中国的反避税体系日益完善</w:t>
      </w:r>
      <w:r w:rsidR="000C66BB">
        <w:rPr>
          <w:rFonts w:hint="eastAsia"/>
        </w:rPr>
        <w:t>，</w:t>
      </w:r>
      <w:r w:rsidR="00036B6D" w:rsidRPr="002A2A1C">
        <w:rPr>
          <w:rFonts w:hint="eastAsia"/>
        </w:rPr>
        <w:t>对非居民企业税收征管进一步加强。</w:t>
      </w:r>
    </w:p>
    <w:p w:rsidR="005E0592" w:rsidRDefault="002E0FC0" w:rsidP="00E805BC">
      <w:pPr>
        <w:ind w:firstLine="480"/>
        <w:sectPr w:rsidR="005E0592">
          <w:headerReference w:type="default" r:id="rId25"/>
          <w:pgSz w:w="11906" w:h="16838"/>
          <w:pgMar w:top="1440" w:right="1800" w:bottom="1440" w:left="1800" w:header="851" w:footer="992" w:gutter="0"/>
          <w:cols w:space="425"/>
          <w:docGrid w:type="lines" w:linePitch="312"/>
        </w:sectPr>
      </w:pPr>
      <w:r w:rsidRPr="002A2A1C">
        <w:rPr>
          <w:rFonts w:hint="eastAsia"/>
        </w:rPr>
        <w:t>只有建立完善、规范的法律法规</w:t>
      </w:r>
      <w:r w:rsidR="000C66BB">
        <w:rPr>
          <w:rFonts w:hint="eastAsia"/>
        </w:rPr>
        <w:t>，</w:t>
      </w:r>
      <w:r w:rsidRPr="002A2A1C">
        <w:rPr>
          <w:rFonts w:hint="eastAsia"/>
        </w:rPr>
        <w:t>才能降低税务机关和纳税人的税务风险</w:t>
      </w:r>
      <w:r w:rsidR="000C66BB">
        <w:rPr>
          <w:rFonts w:hint="eastAsia"/>
        </w:rPr>
        <w:t>，</w:t>
      </w:r>
      <w:r w:rsidRPr="002A2A1C">
        <w:t>达到依法治税的目标</w:t>
      </w:r>
      <w:r w:rsidRPr="002A2A1C">
        <w:rPr>
          <w:rFonts w:hint="eastAsia"/>
        </w:rPr>
        <w:t>。</w:t>
      </w:r>
      <w:r w:rsidR="007D790E" w:rsidRPr="002A2A1C">
        <w:rPr>
          <w:rFonts w:hint="eastAsia"/>
        </w:rPr>
        <w:t>非居民企业间接转让财产在现实中涉及的问题纷繁复杂</w:t>
      </w:r>
      <w:r w:rsidR="000C66BB">
        <w:rPr>
          <w:rFonts w:hint="eastAsia"/>
        </w:rPr>
        <w:t>，</w:t>
      </w:r>
      <w:r w:rsidR="007D790E" w:rsidRPr="002A2A1C">
        <w:rPr>
          <w:rFonts w:hint="eastAsia"/>
        </w:rPr>
        <w:t>相关税收规定</w:t>
      </w:r>
      <w:r w:rsidRPr="002A2A1C">
        <w:rPr>
          <w:rFonts w:hint="eastAsia"/>
        </w:rPr>
        <w:t>的</w:t>
      </w:r>
      <w:r w:rsidR="007D790E" w:rsidRPr="002A2A1C">
        <w:rPr>
          <w:rFonts w:hint="eastAsia"/>
        </w:rPr>
        <w:t>进一步明晰和完善</w:t>
      </w:r>
      <w:r w:rsidRPr="002A2A1C">
        <w:rPr>
          <w:rFonts w:hint="eastAsia"/>
        </w:rPr>
        <w:t>还要经历</w:t>
      </w:r>
      <w:r w:rsidR="00BC3FFC" w:rsidRPr="002A2A1C">
        <w:rPr>
          <w:rFonts w:hint="eastAsia"/>
        </w:rPr>
        <w:t>很长的时间</w:t>
      </w:r>
      <w:r w:rsidR="000C66BB">
        <w:rPr>
          <w:rFonts w:hint="eastAsia"/>
        </w:rPr>
        <w:t>，</w:t>
      </w:r>
      <w:r w:rsidR="001E6EE2" w:rsidRPr="002A2A1C">
        <w:rPr>
          <w:rFonts w:hint="eastAsia"/>
        </w:rPr>
        <w:t>但是</w:t>
      </w:r>
      <w:r w:rsidR="001E6EE2" w:rsidRPr="002A2A1C">
        <w:rPr>
          <w:rFonts w:hint="eastAsia"/>
        </w:rPr>
        <w:t>7</w:t>
      </w:r>
      <w:r w:rsidR="00AF57FC">
        <w:rPr>
          <w:rFonts w:hint="eastAsia"/>
        </w:rPr>
        <w:t>号文</w:t>
      </w:r>
      <w:r w:rsidR="001E6EE2" w:rsidRPr="002A2A1C">
        <w:rPr>
          <w:rFonts w:hint="eastAsia"/>
        </w:rPr>
        <w:t>的</w:t>
      </w:r>
      <w:proofErr w:type="gramStart"/>
      <w:r w:rsidR="001E6EE2" w:rsidRPr="002A2A1C">
        <w:rPr>
          <w:rFonts w:hint="eastAsia"/>
        </w:rPr>
        <w:t>颁布让</w:t>
      </w:r>
      <w:proofErr w:type="gramEnd"/>
      <w:r w:rsidR="001E6EE2" w:rsidRPr="002A2A1C">
        <w:rPr>
          <w:rFonts w:hint="eastAsia"/>
        </w:rPr>
        <w:t>我们看到非居民企业间接转让股权相关法律</w:t>
      </w:r>
      <w:r w:rsidR="001B1EB0" w:rsidRPr="002A2A1C">
        <w:rPr>
          <w:rFonts w:hint="eastAsia"/>
        </w:rPr>
        <w:t>继续</w:t>
      </w:r>
      <w:r w:rsidR="00054E1D">
        <w:rPr>
          <w:rFonts w:hint="eastAsia"/>
        </w:rPr>
        <w:t>完善的希</w:t>
      </w:r>
    </w:p>
    <w:p w:rsidR="00520BFD" w:rsidRDefault="00520BFD" w:rsidP="007445A8">
      <w:pPr>
        <w:pStyle w:val="1"/>
        <w:ind w:firstLine="643"/>
      </w:pPr>
      <w:bookmarkStart w:id="25" w:name="_Toc492587021"/>
      <w:r w:rsidRPr="00520BFD">
        <w:rPr>
          <w:rFonts w:hint="eastAsia"/>
        </w:rPr>
        <w:lastRenderedPageBreak/>
        <w:t>案例参考文献</w:t>
      </w:r>
      <w:bookmarkEnd w:id="25"/>
    </w:p>
    <w:p w:rsidR="00B57992" w:rsidRPr="007445A8" w:rsidRDefault="00B57992" w:rsidP="00557301">
      <w:pPr>
        <w:ind w:firstLine="480"/>
        <w:rPr>
          <w:rFonts w:cs="Times New Roman"/>
          <w:szCs w:val="24"/>
        </w:rPr>
      </w:pPr>
      <w:r w:rsidRPr="007445A8">
        <w:rPr>
          <w:rFonts w:cs="Times New Roman"/>
          <w:szCs w:val="24"/>
        </w:rPr>
        <w:t xml:space="preserve">[1] </w:t>
      </w:r>
      <w:r w:rsidRPr="007445A8">
        <w:rPr>
          <w:rFonts w:cs="Times New Roman" w:hint="eastAsia"/>
          <w:szCs w:val="24"/>
        </w:rPr>
        <w:t>韦国庆</w:t>
      </w:r>
      <w:r w:rsidR="007445A8">
        <w:rPr>
          <w:rFonts w:cs="Times New Roman" w:hint="eastAsia"/>
          <w:szCs w:val="24"/>
        </w:rPr>
        <w:t>，</w:t>
      </w:r>
      <w:r w:rsidR="007445A8">
        <w:rPr>
          <w:rFonts w:cs="Times New Roman" w:hint="eastAsia"/>
          <w:szCs w:val="24"/>
        </w:rPr>
        <w:t>2017</w:t>
      </w:r>
      <w:r w:rsidR="007445A8">
        <w:rPr>
          <w:rFonts w:cs="Times New Roman" w:hint="eastAsia"/>
          <w:szCs w:val="24"/>
        </w:rPr>
        <w:t>：</w:t>
      </w:r>
      <w:r w:rsidRPr="007445A8">
        <w:rPr>
          <w:rFonts w:cs="Times New Roman" w:hint="eastAsia"/>
          <w:szCs w:val="24"/>
        </w:rPr>
        <w:t>《离岸的迷思——最高法院再审“儿童投资主基金”案述评》</w:t>
      </w:r>
      <w:r w:rsidR="000C66BB" w:rsidRPr="007445A8">
        <w:rPr>
          <w:rFonts w:cs="Times New Roman" w:hint="eastAsia"/>
          <w:szCs w:val="24"/>
        </w:rPr>
        <w:t>，</w:t>
      </w:r>
      <w:r w:rsidRPr="007445A8">
        <w:rPr>
          <w:rFonts w:cs="Times New Roman" w:hint="eastAsia"/>
          <w:szCs w:val="24"/>
        </w:rPr>
        <w:t>《税里税外》。</w:t>
      </w:r>
    </w:p>
    <w:p w:rsidR="00B57992" w:rsidRPr="007445A8" w:rsidRDefault="00B57992" w:rsidP="00557301">
      <w:pPr>
        <w:ind w:firstLine="480"/>
        <w:rPr>
          <w:rFonts w:cs="Times New Roman"/>
          <w:szCs w:val="24"/>
        </w:rPr>
      </w:pPr>
      <w:r w:rsidRPr="007445A8">
        <w:rPr>
          <w:rFonts w:cs="Times New Roman"/>
          <w:szCs w:val="24"/>
        </w:rPr>
        <w:t xml:space="preserve">[2] </w:t>
      </w:r>
      <w:r w:rsidRPr="007445A8">
        <w:rPr>
          <w:rFonts w:cs="Times New Roman" w:hint="eastAsia"/>
          <w:szCs w:val="24"/>
        </w:rPr>
        <w:t>王学辉</w:t>
      </w:r>
      <w:r w:rsidR="00FD5F3D">
        <w:rPr>
          <w:rFonts w:cs="Times New Roman" w:hint="eastAsia"/>
          <w:szCs w:val="24"/>
        </w:rPr>
        <w:t>，</w:t>
      </w:r>
      <w:r w:rsidR="00FD5F3D">
        <w:rPr>
          <w:rFonts w:cs="Times New Roman" w:hint="eastAsia"/>
          <w:szCs w:val="24"/>
        </w:rPr>
        <w:t>2017</w:t>
      </w:r>
      <w:r w:rsidR="00FD5F3D">
        <w:rPr>
          <w:rFonts w:cs="Times New Roman" w:hint="eastAsia"/>
          <w:szCs w:val="24"/>
        </w:rPr>
        <w:t>：</w:t>
      </w:r>
      <w:proofErr w:type="gramStart"/>
      <w:r w:rsidRPr="007445A8">
        <w:rPr>
          <w:rFonts w:cs="Times New Roman" w:hint="eastAsia"/>
          <w:szCs w:val="24"/>
        </w:rPr>
        <w:t>《</w:t>
      </w:r>
      <w:proofErr w:type="gramEnd"/>
      <w:r w:rsidRPr="007445A8">
        <w:rPr>
          <w:rFonts w:cs="Times New Roman" w:hint="eastAsia"/>
          <w:szCs w:val="24"/>
        </w:rPr>
        <w:t>行政审判十大典型案例</w:t>
      </w:r>
      <w:r w:rsidRPr="007445A8">
        <w:rPr>
          <w:rFonts w:cs="Times New Roman"/>
          <w:szCs w:val="24"/>
        </w:rPr>
        <w:t>7:</w:t>
      </w:r>
      <w:r w:rsidRPr="007445A8">
        <w:rPr>
          <w:rFonts w:cs="Times New Roman"/>
          <w:szCs w:val="24"/>
        </w:rPr>
        <w:t>儿童投资主基金与西湖区国家税务局行政征收争议案评析</w:t>
      </w:r>
      <w:proofErr w:type="gramStart"/>
      <w:r w:rsidRPr="007445A8">
        <w:rPr>
          <w:rFonts w:cs="Times New Roman" w:hint="eastAsia"/>
          <w:szCs w:val="24"/>
        </w:rPr>
        <w:t>》</w:t>
      </w:r>
      <w:proofErr w:type="gramEnd"/>
      <w:r w:rsidR="000C66BB" w:rsidRPr="007445A8">
        <w:rPr>
          <w:rFonts w:cs="Times New Roman" w:hint="eastAsia"/>
          <w:szCs w:val="24"/>
        </w:rPr>
        <w:t>，</w:t>
      </w:r>
      <w:proofErr w:type="gramStart"/>
      <w:r w:rsidRPr="007445A8">
        <w:rPr>
          <w:rFonts w:cs="Times New Roman" w:hint="eastAsia"/>
          <w:szCs w:val="24"/>
        </w:rPr>
        <w:t>《</w:t>
      </w:r>
      <w:proofErr w:type="gramEnd"/>
      <w:r w:rsidRPr="007445A8">
        <w:rPr>
          <w:rFonts w:cs="Times New Roman" w:hint="eastAsia"/>
          <w:szCs w:val="24"/>
        </w:rPr>
        <w:t>公法之声</w:t>
      </w:r>
      <w:r w:rsidR="00FD5F3D">
        <w:rPr>
          <w:rFonts w:cs="Times New Roman" w:hint="eastAsia"/>
          <w:szCs w:val="24"/>
        </w:rPr>
        <w:t>:</w:t>
      </w:r>
      <w:r w:rsidRPr="007445A8">
        <w:rPr>
          <w:rFonts w:cs="Times New Roman" w:hint="eastAsia"/>
          <w:szCs w:val="24"/>
        </w:rPr>
        <w:t>。</w:t>
      </w:r>
    </w:p>
    <w:p w:rsidR="00A167F5" w:rsidRPr="007445A8" w:rsidRDefault="00A167F5" w:rsidP="00557301">
      <w:pPr>
        <w:ind w:firstLine="480"/>
        <w:rPr>
          <w:rFonts w:cs="Times New Roman"/>
          <w:szCs w:val="24"/>
        </w:rPr>
      </w:pPr>
      <w:r w:rsidRPr="007445A8">
        <w:rPr>
          <w:rFonts w:cs="Times New Roman"/>
          <w:szCs w:val="24"/>
        </w:rPr>
        <w:t>[3</w:t>
      </w:r>
      <w:r w:rsidR="00557301" w:rsidRPr="007445A8">
        <w:rPr>
          <w:rFonts w:cs="Times New Roman"/>
          <w:szCs w:val="24"/>
        </w:rPr>
        <w:t xml:space="preserve">] </w:t>
      </w:r>
      <w:r w:rsidR="00557301" w:rsidRPr="007445A8">
        <w:rPr>
          <w:rFonts w:cs="Times New Roman"/>
          <w:szCs w:val="24"/>
        </w:rPr>
        <w:t>宫伟</w:t>
      </w:r>
      <w:r w:rsidR="00FD5F3D">
        <w:rPr>
          <w:rFonts w:cs="Times New Roman" w:hint="eastAsia"/>
          <w:szCs w:val="24"/>
        </w:rPr>
        <w:t>，</w:t>
      </w:r>
      <w:r w:rsidR="00FD5F3D">
        <w:rPr>
          <w:rFonts w:cs="Times New Roman" w:hint="eastAsia"/>
          <w:szCs w:val="24"/>
        </w:rPr>
        <w:t>2013</w:t>
      </w:r>
      <w:r w:rsidR="00557301" w:rsidRPr="007445A8">
        <w:rPr>
          <w:rFonts w:cs="Times New Roman" w:hint="eastAsia"/>
          <w:szCs w:val="24"/>
        </w:rPr>
        <w:t>《</w:t>
      </w:r>
      <w:r w:rsidR="00557301" w:rsidRPr="007445A8">
        <w:rPr>
          <w:rFonts w:cs="Times New Roman"/>
          <w:szCs w:val="24"/>
        </w:rPr>
        <w:t>非居民企业间接转让股权避税风险大</w:t>
      </w:r>
      <w:r w:rsidR="00557301" w:rsidRPr="007445A8">
        <w:rPr>
          <w:rFonts w:cs="Times New Roman" w:hint="eastAsia"/>
          <w:szCs w:val="24"/>
        </w:rPr>
        <w:t>》</w:t>
      </w:r>
      <w:r w:rsidR="000C66BB" w:rsidRPr="007445A8">
        <w:rPr>
          <w:rFonts w:cs="Times New Roman" w:hint="eastAsia"/>
          <w:szCs w:val="24"/>
        </w:rPr>
        <w:t>，</w:t>
      </w:r>
      <w:r w:rsidR="00557301" w:rsidRPr="007445A8">
        <w:rPr>
          <w:rFonts w:cs="Times New Roman" w:hint="eastAsia"/>
          <w:szCs w:val="24"/>
        </w:rPr>
        <w:t>《</w:t>
      </w:r>
      <w:r w:rsidR="00557301" w:rsidRPr="007445A8">
        <w:rPr>
          <w:rFonts w:cs="Times New Roman"/>
          <w:szCs w:val="24"/>
        </w:rPr>
        <w:t>中国税务报</w:t>
      </w:r>
      <w:r w:rsidR="00557301" w:rsidRPr="007445A8">
        <w:rPr>
          <w:rFonts w:cs="Times New Roman" w:hint="eastAsia"/>
          <w:szCs w:val="24"/>
        </w:rPr>
        <w:t>》。</w:t>
      </w:r>
    </w:p>
    <w:p w:rsidR="00A167F5" w:rsidRPr="007445A8" w:rsidRDefault="00A167F5" w:rsidP="00557301">
      <w:pPr>
        <w:ind w:firstLine="480"/>
        <w:rPr>
          <w:rFonts w:cs="Times New Roman"/>
          <w:szCs w:val="24"/>
        </w:rPr>
      </w:pPr>
      <w:r w:rsidRPr="007445A8">
        <w:rPr>
          <w:rFonts w:cs="Times New Roman"/>
          <w:szCs w:val="24"/>
        </w:rPr>
        <w:t xml:space="preserve">[4] </w:t>
      </w:r>
      <w:r w:rsidR="002E066F" w:rsidRPr="007445A8">
        <w:rPr>
          <w:rFonts w:cs="Times New Roman" w:hint="eastAsia"/>
          <w:szCs w:val="24"/>
        </w:rPr>
        <w:t>何始玉</w:t>
      </w:r>
      <w:r w:rsidR="00FD5F3D">
        <w:rPr>
          <w:rFonts w:cs="Times New Roman" w:hint="eastAsia"/>
          <w:szCs w:val="24"/>
        </w:rPr>
        <w:t>，</w:t>
      </w:r>
      <w:r w:rsidR="00FD5F3D">
        <w:rPr>
          <w:rFonts w:cs="Times New Roman" w:hint="eastAsia"/>
          <w:szCs w:val="24"/>
        </w:rPr>
        <w:t>2005</w:t>
      </w:r>
      <w:r w:rsidRPr="007445A8">
        <w:rPr>
          <w:rFonts w:cs="Times New Roman" w:hint="eastAsia"/>
          <w:szCs w:val="24"/>
        </w:rPr>
        <w:t>《</w:t>
      </w:r>
      <w:r w:rsidR="00557301" w:rsidRPr="007445A8">
        <w:rPr>
          <w:rFonts w:cs="Times New Roman" w:hint="eastAsia"/>
          <w:szCs w:val="24"/>
        </w:rPr>
        <w:t>杭州卖了绕城高速</w:t>
      </w:r>
      <w:r w:rsidR="002E066F" w:rsidRPr="007445A8">
        <w:rPr>
          <w:rFonts w:cs="Times New Roman"/>
          <w:szCs w:val="24"/>
        </w:rPr>
        <w:t>25</w:t>
      </w:r>
      <w:r w:rsidR="002E066F" w:rsidRPr="007445A8">
        <w:rPr>
          <w:rFonts w:cs="Times New Roman"/>
          <w:szCs w:val="24"/>
        </w:rPr>
        <w:t>年经营权实际成交了</w:t>
      </w:r>
      <w:r w:rsidR="002E066F" w:rsidRPr="007445A8">
        <w:rPr>
          <w:rFonts w:cs="Times New Roman"/>
          <w:szCs w:val="24"/>
        </w:rPr>
        <w:t>82</w:t>
      </w:r>
      <w:r w:rsidR="002E066F" w:rsidRPr="007445A8">
        <w:rPr>
          <w:rFonts w:cs="Times New Roman"/>
          <w:szCs w:val="24"/>
        </w:rPr>
        <w:t>亿元</w:t>
      </w:r>
      <w:r w:rsidRPr="007445A8">
        <w:rPr>
          <w:rFonts w:cs="Times New Roman" w:hint="eastAsia"/>
          <w:szCs w:val="24"/>
        </w:rPr>
        <w:t>》</w:t>
      </w:r>
      <w:r w:rsidR="000C66BB" w:rsidRPr="007445A8">
        <w:rPr>
          <w:rFonts w:cs="Times New Roman" w:hint="eastAsia"/>
          <w:szCs w:val="24"/>
        </w:rPr>
        <w:t>，</w:t>
      </w:r>
      <w:r w:rsidRPr="007445A8">
        <w:rPr>
          <w:rFonts w:cs="Times New Roman" w:hint="eastAsia"/>
          <w:szCs w:val="24"/>
        </w:rPr>
        <w:t>《</w:t>
      </w:r>
      <w:r w:rsidR="002E066F" w:rsidRPr="007445A8">
        <w:rPr>
          <w:rFonts w:cs="Times New Roman" w:hint="eastAsia"/>
          <w:szCs w:val="24"/>
        </w:rPr>
        <w:t>钱江晚报</w:t>
      </w:r>
      <w:r w:rsidRPr="007445A8">
        <w:rPr>
          <w:rFonts w:cs="Times New Roman" w:hint="eastAsia"/>
          <w:szCs w:val="24"/>
        </w:rPr>
        <w:t>》。</w:t>
      </w:r>
    </w:p>
    <w:p w:rsidR="00557301" w:rsidRPr="007445A8" w:rsidRDefault="00557301" w:rsidP="00557301">
      <w:pPr>
        <w:ind w:firstLine="480"/>
        <w:rPr>
          <w:rFonts w:cs="Times New Roman"/>
          <w:szCs w:val="24"/>
        </w:rPr>
      </w:pPr>
      <w:r w:rsidRPr="007445A8">
        <w:rPr>
          <w:rFonts w:cs="Times New Roman"/>
          <w:szCs w:val="24"/>
        </w:rPr>
        <w:t xml:space="preserve">[5] </w:t>
      </w:r>
      <w:r w:rsidR="00FD5F3D">
        <w:rPr>
          <w:rFonts w:cs="Times New Roman" w:hint="eastAsia"/>
          <w:szCs w:val="24"/>
        </w:rPr>
        <w:t>董跃进，</w:t>
      </w:r>
      <w:r w:rsidR="00FD5F3D">
        <w:rPr>
          <w:rFonts w:cs="Times New Roman" w:hint="eastAsia"/>
          <w:szCs w:val="24"/>
        </w:rPr>
        <w:t>2016</w:t>
      </w:r>
      <w:r w:rsidRPr="007445A8">
        <w:rPr>
          <w:rFonts w:cs="Times New Roman" w:hint="eastAsia"/>
          <w:szCs w:val="24"/>
        </w:rPr>
        <w:t>《</w:t>
      </w:r>
      <w:r w:rsidRPr="007445A8">
        <w:rPr>
          <w:rFonts w:cs="Times New Roman"/>
          <w:szCs w:val="24"/>
        </w:rPr>
        <w:t>非居民企业间接转让居民企业股权的所得应当缴纳企业所得税</w:t>
      </w:r>
      <w:r w:rsidRPr="007445A8">
        <w:rPr>
          <w:rFonts w:cs="Times New Roman" w:hint="eastAsia"/>
          <w:szCs w:val="24"/>
        </w:rPr>
        <w:t>》</w:t>
      </w:r>
      <w:r w:rsidR="000C66BB" w:rsidRPr="007445A8">
        <w:rPr>
          <w:rFonts w:cs="Times New Roman" w:hint="eastAsia"/>
          <w:szCs w:val="24"/>
        </w:rPr>
        <w:t>，</w:t>
      </w:r>
      <w:r w:rsidRPr="007445A8">
        <w:rPr>
          <w:rFonts w:cs="Times New Roman" w:hint="eastAsia"/>
          <w:szCs w:val="24"/>
        </w:rPr>
        <w:t>《</w:t>
      </w:r>
      <w:r w:rsidRPr="007445A8">
        <w:rPr>
          <w:rFonts w:cs="Times New Roman"/>
          <w:szCs w:val="24"/>
        </w:rPr>
        <w:t>人民法院报</w:t>
      </w:r>
      <w:r w:rsidRPr="007445A8">
        <w:rPr>
          <w:rFonts w:cs="Times New Roman" w:hint="eastAsia"/>
          <w:szCs w:val="24"/>
        </w:rPr>
        <w:t>》。</w:t>
      </w:r>
    </w:p>
    <w:p w:rsidR="00A167F5" w:rsidRPr="007445A8" w:rsidRDefault="00A167F5" w:rsidP="00557301">
      <w:pPr>
        <w:ind w:firstLine="480"/>
        <w:rPr>
          <w:rFonts w:cs="Times New Roman"/>
          <w:szCs w:val="24"/>
        </w:rPr>
      </w:pPr>
      <w:r w:rsidRPr="007445A8">
        <w:rPr>
          <w:rFonts w:cs="Times New Roman"/>
          <w:szCs w:val="24"/>
        </w:rPr>
        <w:t xml:space="preserve">[7] </w:t>
      </w:r>
      <w:r w:rsidR="00557301" w:rsidRPr="007445A8">
        <w:rPr>
          <w:rFonts w:cs="Times New Roman"/>
          <w:szCs w:val="24"/>
        </w:rPr>
        <w:t>王学军</w:t>
      </w:r>
      <w:r w:rsidR="00FD5F3D">
        <w:rPr>
          <w:rFonts w:cs="Times New Roman" w:hint="eastAsia"/>
          <w:szCs w:val="24"/>
        </w:rPr>
        <w:t>，</w:t>
      </w:r>
      <w:r w:rsidR="00FD5F3D">
        <w:rPr>
          <w:rFonts w:cs="Times New Roman" w:hint="eastAsia"/>
          <w:szCs w:val="24"/>
        </w:rPr>
        <w:t>2010</w:t>
      </w:r>
      <w:r w:rsidR="00557301" w:rsidRPr="007445A8">
        <w:rPr>
          <w:rFonts w:cs="Times New Roman" w:hint="eastAsia"/>
          <w:szCs w:val="24"/>
        </w:rPr>
        <w:t>《</w:t>
      </w:r>
      <w:r w:rsidR="00557301" w:rsidRPr="007445A8">
        <w:rPr>
          <w:rFonts w:cs="Times New Roman"/>
          <w:szCs w:val="24"/>
        </w:rPr>
        <w:t>非居民股权转让</w:t>
      </w:r>
      <w:r w:rsidR="00557301" w:rsidRPr="007445A8">
        <w:rPr>
          <w:rFonts w:cs="Times New Roman"/>
          <w:szCs w:val="24"/>
        </w:rPr>
        <w:t>:</w:t>
      </w:r>
      <w:r w:rsidR="00557301" w:rsidRPr="007445A8">
        <w:rPr>
          <w:rFonts w:cs="Times New Roman"/>
          <w:szCs w:val="24"/>
        </w:rPr>
        <w:t>不得不关注的</w:t>
      </w:r>
      <w:r w:rsidR="00557301" w:rsidRPr="007445A8">
        <w:rPr>
          <w:rFonts w:cs="Times New Roman"/>
          <w:szCs w:val="24"/>
        </w:rPr>
        <w:t>9</w:t>
      </w:r>
      <w:r w:rsidR="00557301" w:rsidRPr="007445A8">
        <w:rPr>
          <w:rFonts w:cs="Times New Roman"/>
          <w:szCs w:val="24"/>
        </w:rPr>
        <w:t>个问题</w:t>
      </w:r>
      <w:r w:rsidR="00557301" w:rsidRPr="007445A8">
        <w:rPr>
          <w:rFonts w:cs="Times New Roman" w:hint="eastAsia"/>
          <w:szCs w:val="24"/>
        </w:rPr>
        <w:t>》</w:t>
      </w:r>
      <w:r w:rsidR="000C66BB" w:rsidRPr="007445A8">
        <w:rPr>
          <w:rFonts w:cs="Times New Roman" w:hint="eastAsia"/>
          <w:szCs w:val="24"/>
        </w:rPr>
        <w:t>，</w:t>
      </w:r>
      <w:r w:rsidR="00557301" w:rsidRPr="007445A8">
        <w:rPr>
          <w:rFonts w:cs="Times New Roman" w:hint="eastAsia"/>
          <w:szCs w:val="24"/>
        </w:rPr>
        <w:t>《</w:t>
      </w:r>
      <w:r w:rsidR="00557301" w:rsidRPr="007445A8">
        <w:rPr>
          <w:rFonts w:cs="Times New Roman"/>
          <w:szCs w:val="24"/>
        </w:rPr>
        <w:t>中国会计报</w:t>
      </w:r>
      <w:r w:rsidR="00557301" w:rsidRPr="007445A8">
        <w:rPr>
          <w:rFonts w:cs="Times New Roman" w:hint="eastAsia"/>
          <w:szCs w:val="24"/>
        </w:rPr>
        <w:t>》。</w:t>
      </w:r>
    </w:p>
    <w:p w:rsidR="00A167F5" w:rsidRPr="007445A8" w:rsidRDefault="00A167F5" w:rsidP="00557301">
      <w:pPr>
        <w:ind w:firstLine="480"/>
        <w:rPr>
          <w:rFonts w:cs="Times New Roman"/>
          <w:szCs w:val="24"/>
        </w:rPr>
      </w:pPr>
      <w:r w:rsidRPr="007445A8">
        <w:rPr>
          <w:rFonts w:cs="Times New Roman"/>
          <w:szCs w:val="24"/>
        </w:rPr>
        <w:t xml:space="preserve">[8] </w:t>
      </w:r>
      <w:r w:rsidR="00557301" w:rsidRPr="007445A8">
        <w:rPr>
          <w:rFonts w:cs="Times New Roman" w:hint="eastAsia"/>
          <w:szCs w:val="24"/>
        </w:rPr>
        <w:t>俞华</w:t>
      </w:r>
      <w:r w:rsidR="00FD5F3D">
        <w:rPr>
          <w:rFonts w:cs="Times New Roman" w:hint="eastAsia"/>
          <w:szCs w:val="24"/>
        </w:rPr>
        <w:t>，</w:t>
      </w:r>
      <w:r w:rsidR="00FD5F3D">
        <w:rPr>
          <w:rFonts w:cs="Times New Roman" w:hint="eastAsia"/>
          <w:szCs w:val="24"/>
        </w:rPr>
        <w:t>2</w:t>
      </w:r>
      <w:r w:rsidR="00FD5F3D">
        <w:rPr>
          <w:rFonts w:cs="Times New Roman"/>
          <w:szCs w:val="24"/>
        </w:rPr>
        <w:t>016</w:t>
      </w:r>
      <w:r w:rsidR="00557301" w:rsidRPr="007445A8">
        <w:rPr>
          <w:rFonts w:cs="Times New Roman" w:hint="eastAsia"/>
          <w:szCs w:val="24"/>
        </w:rPr>
        <w:t>《</w:t>
      </w:r>
      <w:r w:rsidR="00557301" w:rsidRPr="007445A8">
        <w:rPr>
          <w:rFonts w:cs="Times New Roman"/>
          <w:szCs w:val="24"/>
        </w:rPr>
        <w:t>非居民间接转让股权</w:t>
      </w:r>
      <w:r w:rsidR="000C66BB" w:rsidRPr="007445A8">
        <w:rPr>
          <w:rFonts w:cs="Times New Roman"/>
          <w:szCs w:val="24"/>
        </w:rPr>
        <w:t>，</w:t>
      </w:r>
      <w:r w:rsidR="00557301" w:rsidRPr="007445A8">
        <w:rPr>
          <w:rFonts w:cs="Times New Roman"/>
          <w:szCs w:val="24"/>
        </w:rPr>
        <w:t>税收征管面临五大挑战</w:t>
      </w:r>
      <w:r w:rsidR="00557301" w:rsidRPr="007445A8">
        <w:rPr>
          <w:rFonts w:cs="Times New Roman" w:hint="eastAsia"/>
          <w:szCs w:val="24"/>
        </w:rPr>
        <w:t>》</w:t>
      </w:r>
      <w:r w:rsidR="000C66BB" w:rsidRPr="007445A8">
        <w:rPr>
          <w:rFonts w:cs="Times New Roman" w:hint="eastAsia"/>
          <w:szCs w:val="24"/>
        </w:rPr>
        <w:t>，</w:t>
      </w:r>
      <w:r w:rsidR="00557301" w:rsidRPr="007445A8">
        <w:rPr>
          <w:rFonts w:cs="Times New Roman" w:hint="eastAsia"/>
          <w:szCs w:val="24"/>
        </w:rPr>
        <w:t>《</w:t>
      </w:r>
      <w:r w:rsidR="00557301" w:rsidRPr="007445A8">
        <w:rPr>
          <w:rFonts w:cs="Times New Roman"/>
          <w:szCs w:val="24"/>
        </w:rPr>
        <w:t>中国税务报</w:t>
      </w:r>
      <w:r w:rsidR="00557301" w:rsidRPr="007445A8">
        <w:rPr>
          <w:rFonts w:cs="Times New Roman" w:hint="eastAsia"/>
          <w:szCs w:val="24"/>
        </w:rPr>
        <w:t>》。</w:t>
      </w:r>
    </w:p>
    <w:p w:rsidR="00A167F5" w:rsidRPr="007445A8" w:rsidRDefault="00A167F5" w:rsidP="00557301">
      <w:pPr>
        <w:ind w:firstLine="480"/>
        <w:rPr>
          <w:rFonts w:cs="Times New Roman"/>
          <w:szCs w:val="24"/>
        </w:rPr>
      </w:pPr>
      <w:r w:rsidRPr="007445A8">
        <w:rPr>
          <w:rFonts w:cs="Times New Roman"/>
          <w:szCs w:val="24"/>
        </w:rPr>
        <w:t xml:space="preserve">[9] </w:t>
      </w:r>
      <w:r w:rsidRPr="007445A8">
        <w:rPr>
          <w:rFonts w:cs="Times New Roman" w:hint="eastAsia"/>
          <w:szCs w:val="24"/>
        </w:rPr>
        <w:t>王晓易</w:t>
      </w:r>
      <w:r w:rsidR="00FD5F3D">
        <w:rPr>
          <w:rFonts w:cs="Times New Roman" w:hint="eastAsia"/>
          <w:szCs w:val="24"/>
        </w:rPr>
        <w:t>，</w:t>
      </w:r>
      <w:r w:rsidR="00FD5F3D">
        <w:rPr>
          <w:rFonts w:cs="Times New Roman" w:hint="eastAsia"/>
          <w:szCs w:val="24"/>
        </w:rPr>
        <w:t>2005</w:t>
      </w:r>
      <w:r w:rsidRPr="007445A8">
        <w:rPr>
          <w:rFonts w:cs="Times New Roman" w:hint="eastAsia"/>
          <w:szCs w:val="24"/>
        </w:rPr>
        <w:t>《上海民营企业</w:t>
      </w:r>
      <w:r w:rsidRPr="007445A8">
        <w:rPr>
          <w:rFonts w:cs="Times New Roman"/>
          <w:szCs w:val="24"/>
        </w:rPr>
        <w:t>82</w:t>
      </w:r>
      <w:r w:rsidRPr="007445A8">
        <w:rPr>
          <w:rFonts w:cs="Times New Roman"/>
          <w:szCs w:val="24"/>
        </w:rPr>
        <w:t>亿元买下杭州绕城高速公路</w:t>
      </w:r>
      <w:r w:rsidRPr="007445A8">
        <w:rPr>
          <w:rFonts w:cs="Times New Roman" w:hint="eastAsia"/>
          <w:szCs w:val="24"/>
        </w:rPr>
        <w:t>》</w:t>
      </w:r>
      <w:r w:rsidR="000C66BB" w:rsidRPr="007445A8">
        <w:rPr>
          <w:rFonts w:cs="Times New Roman" w:hint="eastAsia"/>
          <w:szCs w:val="24"/>
        </w:rPr>
        <w:t>，</w:t>
      </w:r>
      <w:r w:rsidRPr="007445A8">
        <w:rPr>
          <w:rFonts w:cs="Times New Roman" w:hint="eastAsia"/>
          <w:szCs w:val="24"/>
        </w:rPr>
        <w:t>《东北新闻》。</w:t>
      </w:r>
    </w:p>
    <w:p w:rsidR="00B57992" w:rsidRPr="00A167F5" w:rsidRDefault="00B57992" w:rsidP="00B57992">
      <w:pPr>
        <w:autoSpaceDE w:val="0"/>
        <w:autoSpaceDN w:val="0"/>
        <w:adjustRightInd w:val="0"/>
        <w:ind w:firstLine="480"/>
        <w:jc w:val="left"/>
        <w:rPr>
          <w:rFonts w:ascii="宋体" w:cs="宋体"/>
          <w:color w:val="000000"/>
          <w:kern w:val="0"/>
          <w:szCs w:val="21"/>
        </w:rPr>
      </w:pPr>
    </w:p>
    <w:p w:rsidR="00B57992" w:rsidRPr="00B57992" w:rsidRDefault="00B57992" w:rsidP="00B57992">
      <w:pPr>
        <w:autoSpaceDE w:val="0"/>
        <w:autoSpaceDN w:val="0"/>
        <w:adjustRightInd w:val="0"/>
        <w:ind w:firstLine="480"/>
        <w:jc w:val="left"/>
        <w:rPr>
          <w:rFonts w:ascii="宋体" w:cs="宋体"/>
          <w:color w:val="000000"/>
          <w:kern w:val="0"/>
          <w:szCs w:val="21"/>
        </w:rPr>
      </w:pPr>
    </w:p>
    <w:p w:rsidR="00520BFD" w:rsidRPr="00B57992" w:rsidRDefault="00520BFD" w:rsidP="001E7BF2">
      <w:pPr>
        <w:ind w:firstLine="480"/>
        <w:rPr>
          <w:rFonts w:cs="Times New Roman"/>
          <w:szCs w:val="24"/>
        </w:rPr>
      </w:pPr>
    </w:p>
    <w:p w:rsidR="001E7BF2" w:rsidRPr="001E7BF2" w:rsidRDefault="001E7BF2" w:rsidP="001E7BF2">
      <w:pPr>
        <w:ind w:firstLine="480"/>
        <w:rPr>
          <w:rFonts w:cs="Times New Roman"/>
          <w:szCs w:val="24"/>
        </w:rPr>
      </w:pPr>
    </w:p>
    <w:p w:rsidR="001E7BF2" w:rsidRPr="001E7BF2" w:rsidRDefault="001E7BF2" w:rsidP="001E7BF2">
      <w:pPr>
        <w:ind w:firstLine="480"/>
        <w:rPr>
          <w:rFonts w:cs="Times New Roman"/>
          <w:szCs w:val="24"/>
        </w:rPr>
      </w:pPr>
    </w:p>
    <w:p w:rsidR="001E7BF2" w:rsidRPr="001E7BF2" w:rsidRDefault="001E7BF2" w:rsidP="001E7BF2">
      <w:pPr>
        <w:ind w:firstLine="480"/>
        <w:rPr>
          <w:rFonts w:cs="Times New Roman"/>
          <w:szCs w:val="24"/>
        </w:rPr>
      </w:pPr>
    </w:p>
    <w:p w:rsidR="001E7BF2" w:rsidRPr="001E7BF2" w:rsidRDefault="001E7BF2" w:rsidP="001E7BF2">
      <w:pPr>
        <w:ind w:firstLine="480"/>
        <w:rPr>
          <w:rFonts w:cs="Times New Roman"/>
          <w:szCs w:val="24"/>
        </w:rPr>
      </w:pPr>
    </w:p>
    <w:p w:rsidR="001E7BF2" w:rsidRPr="001E7BF2" w:rsidRDefault="001E7BF2" w:rsidP="001E7BF2">
      <w:pPr>
        <w:ind w:firstLine="480"/>
        <w:rPr>
          <w:rFonts w:cs="Times New Roman"/>
          <w:szCs w:val="24"/>
        </w:rPr>
      </w:pPr>
    </w:p>
    <w:p w:rsidR="001E7BF2" w:rsidRPr="00520BFD" w:rsidRDefault="001E7BF2" w:rsidP="001E7BF2">
      <w:pPr>
        <w:pStyle w:val="Default"/>
        <w:spacing w:afterLines="50" w:after="156" w:line="400" w:lineRule="exact"/>
        <w:rPr>
          <w:b/>
          <w:sz w:val="32"/>
        </w:rPr>
        <w:sectPr w:rsidR="001E7BF2" w:rsidRPr="00520BFD">
          <w:headerReference w:type="default" r:id="rId26"/>
          <w:pgSz w:w="11906" w:h="16838"/>
          <w:pgMar w:top="1440" w:right="1800" w:bottom="1440" w:left="1800" w:header="851" w:footer="992" w:gutter="0"/>
          <w:cols w:space="425"/>
          <w:docGrid w:type="lines" w:linePitch="312"/>
        </w:sectPr>
      </w:pPr>
    </w:p>
    <w:p w:rsidR="00BF3163" w:rsidRDefault="00520BFD" w:rsidP="007445A8">
      <w:pPr>
        <w:pStyle w:val="1"/>
        <w:ind w:firstLine="643"/>
      </w:pPr>
      <w:bookmarkStart w:id="26" w:name="_Toc492587022"/>
      <w:r w:rsidRPr="00520BFD">
        <w:rPr>
          <w:rFonts w:hint="eastAsia"/>
        </w:rPr>
        <w:lastRenderedPageBreak/>
        <w:t>案例附注</w:t>
      </w:r>
      <w:bookmarkEnd w:id="26"/>
    </w:p>
    <w:p w:rsidR="00520BFD" w:rsidRDefault="00F8567A" w:rsidP="00125D3D">
      <w:pPr>
        <w:ind w:firstLine="482"/>
        <w:rPr>
          <w:rFonts w:cs="Times New Roman"/>
          <w:b/>
          <w:color w:val="000000"/>
          <w:kern w:val="0"/>
          <w:szCs w:val="24"/>
        </w:rPr>
      </w:pPr>
      <w:r>
        <w:rPr>
          <w:rFonts w:cs="Times New Roman"/>
          <w:b/>
          <w:color w:val="000000"/>
          <w:kern w:val="0"/>
          <w:szCs w:val="24"/>
        </w:rPr>
        <w:t>1</w:t>
      </w:r>
      <w:r w:rsidR="00520BFD">
        <w:rPr>
          <w:rFonts w:cs="Times New Roman" w:hint="eastAsia"/>
          <w:b/>
          <w:color w:val="000000"/>
          <w:kern w:val="0"/>
          <w:szCs w:val="24"/>
        </w:rPr>
        <w:t>、</w:t>
      </w:r>
      <w:r w:rsidR="00856DFE" w:rsidRPr="00856DFE">
        <w:rPr>
          <w:rFonts w:cs="Times New Roman" w:hint="eastAsia"/>
          <w:b/>
          <w:color w:val="000000"/>
          <w:kern w:val="0"/>
          <w:szCs w:val="24"/>
        </w:rPr>
        <w:t>本案例涉及的理论</w:t>
      </w:r>
    </w:p>
    <w:p w:rsidR="00F261AE" w:rsidRDefault="00856DFE" w:rsidP="00E805BC">
      <w:pPr>
        <w:ind w:firstLine="480"/>
      </w:pPr>
      <w:r>
        <w:rPr>
          <w:rFonts w:hint="eastAsia"/>
        </w:rPr>
        <w:t>（</w:t>
      </w:r>
      <w:r>
        <w:rPr>
          <w:rFonts w:hint="eastAsia"/>
        </w:rPr>
        <w:t>1</w:t>
      </w:r>
      <w:r>
        <w:rPr>
          <w:rFonts w:hint="eastAsia"/>
        </w:rPr>
        <w:t>）非居民企业：</w:t>
      </w:r>
      <w:r w:rsidR="002D1529">
        <w:rPr>
          <w:rFonts w:hint="eastAsia"/>
        </w:rPr>
        <w:t>我国的</w:t>
      </w:r>
      <w:r w:rsidR="00683B45" w:rsidRPr="00683B45">
        <w:t>非居民企业是指依照外国（地区）法律、法规成立且实际管理机构不在中国境内</w:t>
      </w:r>
      <w:r w:rsidR="000C66BB">
        <w:t>，</w:t>
      </w:r>
      <w:r w:rsidR="00683B45" w:rsidRPr="00683B45">
        <w:t>但在中国境内设立机构、场所的</w:t>
      </w:r>
      <w:r w:rsidR="000C66BB">
        <w:t>，</w:t>
      </w:r>
      <w:r w:rsidR="00683B45" w:rsidRPr="00683B45">
        <w:t>或者在中国境内未设立机构、场所</w:t>
      </w:r>
      <w:r w:rsidR="000C66BB">
        <w:t>，</w:t>
      </w:r>
      <w:r w:rsidR="00683B45" w:rsidRPr="00683B45">
        <w:t>但有来源于中国境内所得的企业。</w:t>
      </w:r>
    </w:p>
    <w:p w:rsidR="00520BFD" w:rsidRPr="00683B45" w:rsidRDefault="002D1529" w:rsidP="00E805BC">
      <w:pPr>
        <w:ind w:firstLine="480"/>
      </w:pPr>
      <w:r w:rsidRPr="002D1529">
        <w:rPr>
          <w:rFonts w:hint="eastAsia"/>
        </w:rPr>
        <w:t>在</w:t>
      </w:r>
      <w:r>
        <w:rPr>
          <w:rFonts w:hint="eastAsia"/>
        </w:rPr>
        <w:t>我国</w:t>
      </w:r>
      <w:r w:rsidRPr="002D1529">
        <w:rPr>
          <w:rFonts w:hint="eastAsia"/>
        </w:rPr>
        <w:t>境内设立机构、场所的非居民企业</w:t>
      </w:r>
      <w:r w:rsidR="000C66BB">
        <w:rPr>
          <w:rFonts w:hint="eastAsia"/>
        </w:rPr>
        <w:t>，</w:t>
      </w:r>
      <w:r>
        <w:rPr>
          <w:rFonts w:hint="eastAsia"/>
        </w:rPr>
        <w:t>应</w:t>
      </w:r>
      <w:r w:rsidRPr="002D1529">
        <w:rPr>
          <w:rFonts w:hint="eastAsia"/>
        </w:rPr>
        <w:t>就其机构场所取得的来源于境内的所得和发生在</w:t>
      </w:r>
      <w:proofErr w:type="gramStart"/>
      <w:r w:rsidRPr="002D1529">
        <w:rPr>
          <w:rFonts w:hint="eastAsia"/>
        </w:rPr>
        <w:t>境外但</w:t>
      </w:r>
      <w:proofErr w:type="gramEnd"/>
      <w:r w:rsidRPr="002D1529">
        <w:rPr>
          <w:rFonts w:hint="eastAsia"/>
        </w:rPr>
        <w:t>与其在我国境内设立的机构场所有实际联系的所得</w:t>
      </w:r>
      <w:r w:rsidR="000C66BB">
        <w:rPr>
          <w:rFonts w:hint="eastAsia"/>
        </w:rPr>
        <w:t>，</w:t>
      </w:r>
      <w:r w:rsidRPr="002D1529">
        <w:rPr>
          <w:rFonts w:hint="eastAsia"/>
        </w:rPr>
        <w:t>在我国缴纳企业所得税</w:t>
      </w:r>
      <w:r w:rsidRPr="002D1529">
        <w:t>;</w:t>
      </w:r>
      <w:r>
        <w:rPr>
          <w:rFonts w:hint="eastAsia"/>
        </w:rPr>
        <w:t>未</w:t>
      </w:r>
      <w:r w:rsidRPr="002D1529">
        <w:rPr>
          <w:rFonts w:hint="eastAsia"/>
        </w:rPr>
        <w:t>在我国境内设立机构、场所的非居民企业</w:t>
      </w:r>
      <w:r w:rsidR="000C66BB">
        <w:rPr>
          <w:rFonts w:hint="eastAsia"/>
        </w:rPr>
        <w:t>，</w:t>
      </w:r>
      <w:r w:rsidRPr="002D1529">
        <w:rPr>
          <w:rFonts w:hint="eastAsia"/>
        </w:rPr>
        <w:t>应就其来源于中国境内的所得缴纳企业所得税。</w:t>
      </w:r>
    </w:p>
    <w:p w:rsidR="00BC1345" w:rsidRPr="00856DFE" w:rsidRDefault="00856DFE" w:rsidP="00E805BC">
      <w:pPr>
        <w:ind w:firstLine="480"/>
      </w:pPr>
      <w:r>
        <w:rPr>
          <w:rFonts w:hint="eastAsia"/>
        </w:rPr>
        <w:t>（</w:t>
      </w:r>
      <w:r>
        <w:rPr>
          <w:rFonts w:hint="eastAsia"/>
        </w:rPr>
        <w:t>2</w:t>
      </w:r>
      <w:r>
        <w:rPr>
          <w:rFonts w:hint="eastAsia"/>
        </w:rPr>
        <w:t>）</w:t>
      </w:r>
      <w:r w:rsidR="00520BFD" w:rsidRPr="00856DFE">
        <w:rPr>
          <w:rFonts w:hint="eastAsia"/>
        </w:rPr>
        <w:t>收入来源地</w:t>
      </w:r>
      <w:r>
        <w:rPr>
          <w:rFonts w:hint="eastAsia"/>
        </w:rPr>
        <w:t>的确定：</w:t>
      </w:r>
    </w:p>
    <w:p w:rsidR="004062E9" w:rsidRPr="004062E9" w:rsidRDefault="004062E9" w:rsidP="00E805BC">
      <w:pPr>
        <w:ind w:firstLine="480"/>
      </w:pPr>
      <w:r w:rsidRPr="004062E9">
        <w:t>销售货物所得</w:t>
      </w:r>
      <w:r w:rsidR="000C66BB">
        <w:t>，</w:t>
      </w:r>
      <w:r w:rsidRPr="004062E9">
        <w:t>按照交易活动发生地确定。</w:t>
      </w:r>
    </w:p>
    <w:p w:rsidR="004062E9" w:rsidRPr="004062E9" w:rsidRDefault="004062E9" w:rsidP="00E805BC">
      <w:pPr>
        <w:ind w:firstLine="480"/>
      </w:pPr>
      <w:r w:rsidRPr="004062E9">
        <w:t>提供劳务所得</w:t>
      </w:r>
      <w:r w:rsidR="000C66BB">
        <w:t>，</w:t>
      </w:r>
      <w:r w:rsidRPr="004062E9">
        <w:t>按照劳务发生地确定。</w:t>
      </w:r>
    </w:p>
    <w:p w:rsidR="004062E9" w:rsidRPr="004062E9" w:rsidRDefault="00856DFE" w:rsidP="00E805BC">
      <w:pPr>
        <w:ind w:firstLine="480"/>
      </w:pPr>
      <w:r>
        <w:t>转让财产所得</w:t>
      </w:r>
      <w:r>
        <w:rPr>
          <w:rFonts w:hint="eastAsia"/>
        </w:rPr>
        <w:t>：</w:t>
      </w:r>
      <w:r w:rsidR="004062E9" w:rsidRPr="004062E9">
        <w:rPr>
          <w:rFonts w:hint="eastAsia"/>
        </w:rPr>
        <w:t>不动产转让所得按照不动产所在地确定</w:t>
      </w:r>
      <w:r w:rsidR="00F261AE">
        <w:rPr>
          <w:rFonts w:hint="eastAsia"/>
        </w:rPr>
        <w:t>；</w:t>
      </w:r>
      <w:r w:rsidR="004062E9" w:rsidRPr="004062E9">
        <w:t>动产转让所得按照转让动产的企业或者机构、场所所在地确定</w:t>
      </w:r>
      <w:r w:rsidR="00F261AE">
        <w:rPr>
          <w:rFonts w:hint="eastAsia"/>
        </w:rPr>
        <w:t>；</w:t>
      </w:r>
      <w:r w:rsidR="004062E9" w:rsidRPr="004062E9">
        <w:rPr>
          <w:rFonts w:hint="eastAsia"/>
        </w:rPr>
        <w:t>权益性投资资产转让所得按照被投资企业所在地确定。</w:t>
      </w:r>
    </w:p>
    <w:p w:rsidR="004062E9" w:rsidRPr="004062E9" w:rsidRDefault="004062E9" w:rsidP="00E805BC">
      <w:pPr>
        <w:ind w:firstLine="480"/>
      </w:pPr>
      <w:r w:rsidRPr="004062E9">
        <w:t>股息、红利等权益性投资所得</w:t>
      </w:r>
      <w:r w:rsidR="000C66BB">
        <w:t>，</w:t>
      </w:r>
      <w:r w:rsidRPr="004062E9">
        <w:t>按照分配所得的企业所在地确定。</w:t>
      </w:r>
    </w:p>
    <w:p w:rsidR="004062E9" w:rsidRPr="004062E9" w:rsidRDefault="004062E9" w:rsidP="00E805BC">
      <w:pPr>
        <w:ind w:firstLine="480"/>
      </w:pPr>
      <w:r w:rsidRPr="004062E9">
        <w:t>利息所得、租金所得、特许权使用费所得</w:t>
      </w:r>
      <w:r w:rsidR="000C66BB">
        <w:t>，</w:t>
      </w:r>
      <w:r w:rsidRPr="004062E9">
        <w:t>按照负担、支付所得的企业或者机构、场所所在地确定</w:t>
      </w:r>
      <w:r w:rsidR="000C66BB">
        <w:t>，</w:t>
      </w:r>
      <w:r w:rsidRPr="004062E9">
        <w:t>或者按照负担、支付所得的个人的住所地确定。</w:t>
      </w:r>
    </w:p>
    <w:p w:rsidR="002D1529" w:rsidRDefault="004062E9" w:rsidP="00E805BC">
      <w:pPr>
        <w:ind w:firstLine="480"/>
      </w:pPr>
      <w:r w:rsidRPr="004062E9">
        <w:t>其他所得</w:t>
      </w:r>
      <w:r w:rsidR="000C66BB">
        <w:t>，</w:t>
      </w:r>
      <w:r w:rsidRPr="004062E9">
        <w:t>由国务院财政、税务主管部门确定。</w:t>
      </w:r>
    </w:p>
    <w:p w:rsidR="00856DFE" w:rsidRDefault="00856DFE" w:rsidP="00856DFE">
      <w:pPr>
        <w:ind w:firstLine="482"/>
        <w:rPr>
          <w:rFonts w:cs="Times New Roman"/>
          <w:b/>
          <w:color w:val="000000"/>
          <w:kern w:val="0"/>
          <w:szCs w:val="24"/>
        </w:rPr>
      </w:pPr>
      <w:r>
        <w:rPr>
          <w:rFonts w:cs="Times New Roman"/>
          <w:b/>
          <w:color w:val="000000"/>
          <w:kern w:val="0"/>
          <w:szCs w:val="24"/>
        </w:rPr>
        <w:t>2</w:t>
      </w:r>
      <w:r>
        <w:rPr>
          <w:rFonts w:cs="Times New Roman" w:hint="eastAsia"/>
          <w:b/>
          <w:color w:val="000000"/>
          <w:kern w:val="0"/>
          <w:szCs w:val="24"/>
        </w:rPr>
        <w:t>、</w:t>
      </w:r>
      <w:r w:rsidRPr="00856DFE">
        <w:rPr>
          <w:rFonts w:cs="Times New Roman" w:hint="eastAsia"/>
          <w:b/>
          <w:color w:val="000000"/>
          <w:kern w:val="0"/>
          <w:szCs w:val="24"/>
        </w:rPr>
        <w:t>案例的目的和意义</w:t>
      </w:r>
    </w:p>
    <w:p w:rsidR="00BB03C6" w:rsidRDefault="00037D36" w:rsidP="00E805BC">
      <w:pPr>
        <w:ind w:firstLine="480"/>
      </w:pPr>
      <w:r w:rsidRPr="00037D36">
        <w:rPr>
          <w:rFonts w:hint="eastAsia"/>
        </w:rPr>
        <w:t>本案例</w:t>
      </w:r>
      <w:r w:rsidR="00BB03C6">
        <w:rPr>
          <w:rFonts w:hint="eastAsia"/>
        </w:rPr>
        <w:t>由</w:t>
      </w:r>
      <w:bookmarkStart w:id="27" w:name="_Hlk492570864"/>
      <w:r>
        <w:rPr>
          <w:rFonts w:hint="eastAsia"/>
        </w:rPr>
        <w:t>儿童投资</w:t>
      </w:r>
      <w:proofErr w:type="gramStart"/>
      <w:r>
        <w:rPr>
          <w:rFonts w:hint="eastAsia"/>
        </w:rPr>
        <w:t>主基金诉杭州市</w:t>
      </w:r>
      <w:proofErr w:type="gramEnd"/>
      <w:r>
        <w:rPr>
          <w:rFonts w:hint="eastAsia"/>
        </w:rPr>
        <w:t>西湖区国家税务局税务征收案</w:t>
      </w:r>
      <w:bookmarkEnd w:id="27"/>
      <w:r w:rsidR="00BB03C6">
        <w:rPr>
          <w:rFonts w:hint="eastAsia"/>
        </w:rPr>
        <w:t>，探讨</w:t>
      </w:r>
      <w:r w:rsidRPr="00037D36">
        <w:rPr>
          <w:rFonts w:hint="eastAsia"/>
        </w:rPr>
        <w:t>非居民企业间接转让境内</w:t>
      </w:r>
      <w:r w:rsidR="00BB03C6">
        <w:rPr>
          <w:rFonts w:hint="eastAsia"/>
        </w:rPr>
        <w:t>股权</w:t>
      </w:r>
      <w:r w:rsidRPr="00037D36">
        <w:rPr>
          <w:rFonts w:hint="eastAsia"/>
        </w:rPr>
        <w:t>时</w:t>
      </w:r>
      <w:r w:rsidR="00BB03C6">
        <w:rPr>
          <w:rFonts w:hint="eastAsia"/>
        </w:rPr>
        <w:t>，税务机关对其商业目的合理性的判定要素以及</w:t>
      </w:r>
      <w:r w:rsidR="00BB03C6" w:rsidRPr="00BB03C6">
        <w:t>7</w:t>
      </w:r>
      <w:r w:rsidR="00BB03C6" w:rsidRPr="00BB03C6">
        <w:t>号文</w:t>
      </w:r>
      <w:r w:rsidR="00BB03C6">
        <w:rPr>
          <w:rFonts w:hint="eastAsia"/>
        </w:rPr>
        <w:t>对新</w:t>
      </w:r>
      <w:proofErr w:type="gramStart"/>
      <w:r w:rsidR="00BB03C6">
        <w:rPr>
          <w:rFonts w:hint="eastAsia"/>
        </w:rPr>
        <w:t>规</w:t>
      </w:r>
      <w:proofErr w:type="gramEnd"/>
      <w:r w:rsidR="00BB03C6">
        <w:rPr>
          <w:rFonts w:hint="eastAsia"/>
        </w:rPr>
        <w:t>对</w:t>
      </w:r>
      <w:r w:rsidR="00BB03C6" w:rsidRPr="00BB03C6">
        <w:rPr>
          <w:rFonts w:hint="eastAsia"/>
        </w:rPr>
        <w:t>非居民企业间接转让</w:t>
      </w:r>
      <w:r w:rsidR="00BB03C6">
        <w:rPr>
          <w:rFonts w:hint="eastAsia"/>
        </w:rPr>
        <w:t>定性的影响。</w:t>
      </w:r>
    </w:p>
    <w:p w:rsidR="00856DFE" w:rsidRDefault="00BB03C6" w:rsidP="00E805BC">
      <w:pPr>
        <w:ind w:firstLine="480"/>
      </w:pPr>
      <w:r>
        <w:rPr>
          <w:rFonts w:hint="eastAsia"/>
        </w:rPr>
        <w:t>本案</w:t>
      </w:r>
      <w:r w:rsidR="00037D36" w:rsidRPr="00037D36">
        <w:rPr>
          <w:rFonts w:hint="eastAsia"/>
        </w:rPr>
        <w:t>以裁判</w:t>
      </w:r>
      <w:r w:rsidR="00917728">
        <w:rPr>
          <w:rFonts w:hint="eastAsia"/>
        </w:rPr>
        <w:t>的</w:t>
      </w:r>
      <w:r w:rsidR="00037D36" w:rsidRPr="00037D36">
        <w:rPr>
          <w:rFonts w:hint="eastAsia"/>
        </w:rPr>
        <w:t>方式为非居民企业间接转让境内股权提供了实践基础</w:t>
      </w:r>
      <w:r w:rsidR="00917728">
        <w:rPr>
          <w:rFonts w:hint="eastAsia"/>
        </w:rPr>
        <w:t>，</w:t>
      </w:r>
      <w:r w:rsidRPr="00BB03C6">
        <w:rPr>
          <w:rFonts w:hint="eastAsia"/>
        </w:rPr>
        <w:t>一定程度上也催化了</w:t>
      </w:r>
      <w:r w:rsidR="00917728">
        <w:rPr>
          <w:rFonts w:hint="eastAsia"/>
        </w:rPr>
        <w:t>7</w:t>
      </w:r>
      <w:r w:rsidR="00917728">
        <w:rPr>
          <w:rFonts w:hint="eastAsia"/>
        </w:rPr>
        <w:t>号文</w:t>
      </w:r>
      <w:r w:rsidRPr="00BB03C6">
        <w:t>的制定</w:t>
      </w:r>
      <w:r>
        <w:t>和出台</w:t>
      </w:r>
      <w:r>
        <w:rPr>
          <w:rFonts w:hint="eastAsia"/>
        </w:rPr>
        <w:t>，推动</w:t>
      </w:r>
      <w:r w:rsidR="00037D36" w:rsidRPr="00037D36">
        <w:rPr>
          <w:rFonts w:hint="eastAsia"/>
        </w:rPr>
        <w:t>税收法律体系的完善和税务管理的进步。</w:t>
      </w:r>
    </w:p>
    <w:p w:rsidR="00917728" w:rsidRPr="00037D36" w:rsidRDefault="00917728" w:rsidP="00E805BC">
      <w:pPr>
        <w:ind w:firstLine="480"/>
      </w:pPr>
      <w:r>
        <w:rPr>
          <w:rFonts w:hint="eastAsia"/>
        </w:rPr>
        <w:t>同时，本案也表明了</w:t>
      </w:r>
      <w:r w:rsidRPr="00917728">
        <w:rPr>
          <w:rFonts w:hint="eastAsia"/>
        </w:rPr>
        <w:t>非居民企业</w:t>
      </w:r>
      <w:r>
        <w:rPr>
          <w:rFonts w:hint="eastAsia"/>
        </w:rPr>
        <w:t>应当</w:t>
      </w:r>
      <w:r w:rsidRPr="00917728">
        <w:rPr>
          <w:rFonts w:hint="eastAsia"/>
        </w:rPr>
        <w:t>在投资架构设计、并购交易安排、文档准备、交易价格设定、补偿机制等方面未雨绸缪</w:t>
      </w:r>
      <w:r>
        <w:rPr>
          <w:rFonts w:hint="eastAsia"/>
        </w:rPr>
        <w:t>，</w:t>
      </w:r>
      <w:r w:rsidRPr="00917728">
        <w:rPr>
          <w:rFonts w:hint="eastAsia"/>
        </w:rPr>
        <w:t>与税务顾问保持紧密联系，与中国税务机关积极沟通，以应对潜在的税务风险</w:t>
      </w:r>
      <w:r>
        <w:rPr>
          <w:rFonts w:hint="eastAsia"/>
        </w:rPr>
        <w:t>。</w:t>
      </w:r>
    </w:p>
    <w:p w:rsidR="00856DFE" w:rsidRPr="00856DFE" w:rsidRDefault="00856DFE" w:rsidP="00856DFE">
      <w:pPr>
        <w:ind w:firstLine="482"/>
        <w:rPr>
          <w:rFonts w:cs="Times New Roman"/>
          <w:b/>
          <w:color w:val="000000"/>
          <w:kern w:val="0"/>
          <w:szCs w:val="24"/>
        </w:rPr>
      </w:pPr>
      <w:r>
        <w:rPr>
          <w:rFonts w:cs="Times New Roman"/>
          <w:b/>
          <w:color w:val="000000"/>
          <w:kern w:val="0"/>
          <w:szCs w:val="24"/>
        </w:rPr>
        <w:t>3</w:t>
      </w:r>
      <w:r>
        <w:rPr>
          <w:rFonts w:cs="Times New Roman" w:hint="eastAsia"/>
          <w:b/>
          <w:color w:val="000000"/>
          <w:kern w:val="0"/>
          <w:szCs w:val="24"/>
        </w:rPr>
        <w:t>、</w:t>
      </w:r>
      <w:r w:rsidRPr="00856DFE">
        <w:rPr>
          <w:rFonts w:cs="Times New Roman" w:hint="eastAsia"/>
          <w:b/>
          <w:color w:val="000000"/>
          <w:kern w:val="0"/>
          <w:szCs w:val="24"/>
        </w:rPr>
        <w:t>理论框架和分析思路</w:t>
      </w:r>
    </w:p>
    <w:p w:rsidR="00A25E4A" w:rsidRDefault="00A25E4A" w:rsidP="00E805BC">
      <w:pPr>
        <w:ind w:firstLine="480"/>
      </w:pPr>
      <w:r>
        <w:rPr>
          <w:rFonts w:hint="eastAsia"/>
        </w:rPr>
        <w:t>本案例从</w:t>
      </w:r>
      <w:r w:rsidRPr="00A25E4A">
        <w:rPr>
          <w:rFonts w:hint="eastAsia"/>
        </w:rPr>
        <w:t>儿童投资主基金</w:t>
      </w:r>
      <w:r>
        <w:rPr>
          <w:rFonts w:hint="eastAsia"/>
        </w:rPr>
        <w:t>与</w:t>
      </w:r>
      <w:r w:rsidRPr="00A25E4A">
        <w:rPr>
          <w:rFonts w:hint="eastAsia"/>
        </w:rPr>
        <w:t>杭州市西湖区国家税务局</w:t>
      </w:r>
      <w:r>
        <w:rPr>
          <w:rFonts w:hint="eastAsia"/>
        </w:rPr>
        <w:t>的</w:t>
      </w:r>
      <w:r w:rsidRPr="00A25E4A">
        <w:rPr>
          <w:rFonts w:hint="eastAsia"/>
        </w:rPr>
        <w:t>税务</w:t>
      </w:r>
      <w:proofErr w:type="gramStart"/>
      <w:r w:rsidRPr="00A25E4A">
        <w:rPr>
          <w:rFonts w:hint="eastAsia"/>
        </w:rPr>
        <w:t>征收案</w:t>
      </w:r>
      <w:proofErr w:type="gramEnd"/>
      <w:r>
        <w:rPr>
          <w:rFonts w:hint="eastAsia"/>
        </w:rPr>
        <w:t>入手，分析了在非居民企业儿童</w:t>
      </w:r>
      <w:r w:rsidRPr="00A25E4A">
        <w:rPr>
          <w:rFonts w:hint="eastAsia"/>
        </w:rPr>
        <w:t>投资主基金</w:t>
      </w:r>
      <w:r>
        <w:rPr>
          <w:rFonts w:hint="eastAsia"/>
        </w:rPr>
        <w:t>转让其所持</w:t>
      </w:r>
      <w:r>
        <w:rPr>
          <w:rFonts w:hint="eastAsia"/>
        </w:rPr>
        <w:t>C</w:t>
      </w:r>
      <w:r>
        <w:t>FC</w:t>
      </w:r>
      <w:r>
        <w:rPr>
          <w:rFonts w:hint="eastAsia"/>
        </w:rPr>
        <w:t>公司股份从而间接转让我国境内资产的征税争议。</w:t>
      </w:r>
    </w:p>
    <w:p w:rsidR="00856DFE" w:rsidRDefault="00A25E4A" w:rsidP="00E805BC">
      <w:pPr>
        <w:ind w:firstLine="480"/>
      </w:pPr>
      <w:r>
        <w:rPr>
          <w:rFonts w:hint="eastAsia"/>
        </w:rPr>
        <w:lastRenderedPageBreak/>
        <w:t>该争议主要涉及到确定该</w:t>
      </w:r>
      <w:r>
        <w:rPr>
          <w:rFonts w:hint="eastAsia"/>
        </w:rPr>
        <w:t>C</w:t>
      </w:r>
      <w:r>
        <w:t>FC</w:t>
      </w:r>
      <w:r>
        <w:rPr>
          <w:rFonts w:hint="eastAsia"/>
        </w:rPr>
        <w:t>公司是否具有经营实质，从而判断间接转让股权是否具有“合理商业目的”。引出</w:t>
      </w:r>
      <w:proofErr w:type="gramStart"/>
      <w:r>
        <w:rPr>
          <w:rFonts w:hint="eastAsia"/>
        </w:rPr>
        <w:t>来税收</w:t>
      </w:r>
      <w:proofErr w:type="gramEnd"/>
      <w:r>
        <w:rPr>
          <w:rFonts w:hint="eastAsia"/>
        </w:rPr>
        <w:t>法律体系对“商业目的”定义上的模糊，导致可操作性不强，冲击了依法治税的原则。因此国税局颁布</w:t>
      </w:r>
      <w:r>
        <w:rPr>
          <w:rFonts w:hint="eastAsia"/>
        </w:rPr>
        <w:t>7</w:t>
      </w:r>
      <w:r>
        <w:rPr>
          <w:rFonts w:hint="eastAsia"/>
        </w:rPr>
        <w:t>号文新</w:t>
      </w:r>
      <w:proofErr w:type="gramStart"/>
      <w:r>
        <w:rPr>
          <w:rFonts w:hint="eastAsia"/>
        </w:rPr>
        <w:t>规</w:t>
      </w:r>
      <w:proofErr w:type="gramEnd"/>
      <w:r>
        <w:rPr>
          <w:rFonts w:hint="eastAsia"/>
        </w:rPr>
        <w:t>，更具体地定义“商业目的”，然而在税务实务中判断“商业目的”依然存在主观性。</w:t>
      </w:r>
      <w:r w:rsidR="006165B7">
        <w:rPr>
          <w:rFonts w:hint="eastAsia"/>
        </w:rPr>
        <w:t>因此，本案以裁决的方式为非居民转让股权的交易定性做出了参考，</w:t>
      </w:r>
      <w:r w:rsidR="0039514F">
        <w:rPr>
          <w:rFonts w:hint="eastAsia"/>
        </w:rPr>
        <w:t>案件争议过程中暴露的问题</w:t>
      </w:r>
      <w:r w:rsidR="006165B7">
        <w:rPr>
          <w:rFonts w:hint="eastAsia"/>
        </w:rPr>
        <w:t>也促进了税收法律法规的进一步完善。</w:t>
      </w:r>
    </w:p>
    <w:p w:rsidR="00856DFE" w:rsidRDefault="00856DFE" w:rsidP="00E805BC">
      <w:pPr>
        <w:ind w:firstLine="480"/>
      </w:pPr>
    </w:p>
    <w:p w:rsidR="00856DFE" w:rsidRPr="00856DFE" w:rsidRDefault="00856DFE" w:rsidP="004062E9">
      <w:pPr>
        <w:ind w:firstLine="482"/>
        <w:rPr>
          <w:rFonts w:cs="Times New Roman"/>
          <w:b/>
          <w:color w:val="000000"/>
          <w:kern w:val="0"/>
          <w:szCs w:val="24"/>
        </w:rPr>
        <w:sectPr w:rsidR="00856DFE" w:rsidRPr="00856DFE">
          <w:headerReference w:type="default" r:id="rId27"/>
          <w:pgSz w:w="11906" w:h="16838"/>
          <w:pgMar w:top="1440" w:right="1800" w:bottom="1440" w:left="1800" w:header="851" w:footer="992" w:gutter="0"/>
          <w:cols w:space="425"/>
          <w:docGrid w:type="lines" w:linePitch="312"/>
        </w:sectPr>
      </w:pPr>
    </w:p>
    <w:p w:rsidR="00520BFD" w:rsidRPr="00BC1345" w:rsidRDefault="00BC1345" w:rsidP="007445A8">
      <w:pPr>
        <w:pStyle w:val="1"/>
        <w:ind w:firstLine="643"/>
      </w:pPr>
      <w:bookmarkStart w:id="28" w:name="_Toc492587023"/>
      <w:r w:rsidRPr="00BC1345">
        <w:rPr>
          <w:rFonts w:hint="eastAsia"/>
        </w:rPr>
        <w:lastRenderedPageBreak/>
        <w:t>案例附件</w:t>
      </w:r>
      <w:r>
        <w:rPr>
          <w:rFonts w:hint="eastAsia"/>
        </w:rPr>
        <w:t>：</w:t>
      </w:r>
      <w:bookmarkEnd w:id="28"/>
    </w:p>
    <w:p w:rsidR="001B1EB0" w:rsidRDefault="001B1EB0" w:rsidP="004F703C">
      <w:pPr>
        <w:ind w:firstLine="482"/>
        <w:rPr>
          <w:rFonts w:cs="Times New Roman"/>
          <w:b/>
          <w:color w:val="000000"/>
          <w:kern w:val="0"/>
          <w:szCs w:val="24"/>
        </w:rPr>
      </w:pPr>
      <w:bookmarkStart w:id="29" w:name="_Hlk492462883"/>
      <w:r w:rsidRPr="00BC1345">
        <w:rPr>
          <w:rFonts w:cs="Times New Roman" w:hint="eastAsia"/>
          <w:b/>
          <w:color w:val="000000"/>
          <w:kern w:val="0"/>
          <w:szCs w:val="24"/>
        </w:rPr>
        <w:t>附件</w:t>
      </w:r>
      <w:r w:rsidRPr="00BC1345">
        <w:rPr>
          <w:rFonts w:cs="Times New Roman"/>
          <w:b/>
          <w:color w:val="000000"/>
          <w:kern w:val="0"/>
          <w:szCs w:val="24"/>
        </w:rPr>
        <w:t>1</w:t>
      </w:r>
      <w:r w:rsidRPr="00BC1345">
        <w:rPr>
          <w:rFonts w:cs="Times New Roman"/>
          <w:b/>
          <w:color w:val="000000"/>
          <w:kern w:val="0"/>
          <w:szCs w:val="24"/>
        </w:rPr>
        <w:t>：</w:t>
      </w:r>
      <w:r w:rsidR="00814222">
        <w:rPr>
          <w:rFonts w:cs="Times New Roman" w:hint="eastAsia"/>
          <w:b/>
          <w:color w:val="000000"/>
          <w:kern w:val="0"/>
          <w:szCs w:val="24"/>
        </w:rPr>
        <w:t>新创建集团披露收购一间</w:t>
      </w:r>
      <w:r w:rsidR="004F703C" w:rsidRPr="00BC1345">
        <w:rPr>
          <w:rFonts w:cs="Times New Roman" w:hint="eastAsia"/>
          <w:b/>
          <w:color w:val="000000"/>
          <w:kern w:val="0"/>
          <w:szCs w:val="24"/>
        </w:rPr>
        <w:t>从事营运杭州绕城公路之公司额外权益</w:t>
      </w:r>
      <w:bookmarkEnd w:id="29"/>
      <w:r w:rsidR="000A4FD3">
        <w:rPr>
          <w:rFonts w:cs="Times New Roman" w:hint="eastAsia"/>
          <w:b/>
          <w:color w:val="000000"/>
          <w:kern w:val="0"/>
          <w:szCs w:val="24"/>
        </w:rPr>
        <w:t>（</w:t>
      </w:r>
      <w:r w:rsidR="000A4FD3">
        <w:rPr>
          <w:rFonts w:cs="Times New Roman" w:hint="eastAsia"/>
          <w:b/>
          <w:color w:val="000000"/>
          <w:kern w:val="0"/>
          <w:szCs w:val="24"/>
        </w:rPr>
        <w:t>2</w:t>
      </w:r>
      <w:r w:rsidR="000A4FD3">
        <w:rPr>
          <w:rFonts w:cs="Times New Roman"/>
          <w:b/>
          <w:color w:val="000000"/>
          <w:kern w:val="0"/>
          <w:szCs w:val="24"/>
        </w:rPr>
        <w:t>011</w:t>
      </w:r>
      <w:r w:rsidR="000A4FD3">
        <w:rPr>
          <w:rFonts w:cs="Times New Roman" w:hint="eastAsia"/>
          <w:b/>
          <w:color w:val="000000"/>
          <w:kern w:val="0"/>
          <w:szCs w:val="24"/>
        </w:rPr>
        <w:t>年</w:t>
      </w:r>
      <w:r w:rsidR="000A4FD3">
        <w:rPr>
          <w:rFonts w:cs="Times New Roman" w:hint="eastAsia"/>
          <w:b/>
          <w:color w:val="000000"/>
          <w:kern w:val="0"/>
          <w:szCs w:val="24"/>
        </w:rPr>
        <w:t>1</w:t>
      </w:r>
      <w:r w:rsidR="000A4FD3">
        <w:rPr>
          <w:rFonts w:cs="Times New Roman"/>
          <w:b/>
          <w:color w:val="000000"/>
          <w:kern w:val="0"/>
          <w:szCs w:val="24"/>
        </w:rPr>
        <w:t>2</w:t>
      </w:r>
      <w:r w:rsidR="000A4FD3">
        <w:rPr>
          <w:rFonts w:cs="Times New Roman" w:hint="eastAsia"/>
          <w:b/>
          <w:color w:val="000000"/>
          <w:kern w:val="0"/>
          <w:szCs w:val="24"/>
        </w:rPr>
        <w:t>月</w:t>
      </w:r>
      <w:r w:rsidR="000A4FD3">
        <w:rPr>
          <w:rFonts w:cs="Times New Roman" w:hint="eastAsia"/>
          <w:b/>
          <w:color w:val="000000"/>
          <w:kern w:val="0"/>
          <w:szCs w:val="24"/>
        </w:rPr>
        <w:t>6</w:t>
      </w:r>
      <w:r w:rsidR="000A4FD3">
        <w:rPr>
          <w:rFonts w:cs="Times New Roman" w:hint="eastAsia"/>
          <w:b/>
          <w:color w:val="000000"/>
          <w:kern w:val="0"/>
          <w:szCs w:val="24"/>
        </w:rPr>
        <w:t>日）</w:t>
      </w:r>
    </w:p>
    <w:p w:rsidR="00000B85" w:rsidRPr="00000B85" w:rsidRDefault="00000B85" w:rsidP="00E805BC">
      <w:pPr>
        <w:ind w:firstLine="480"/>
      </w:pPr>
      <w:r w:rsidRPr="00000B85">
        <w:tab/>
      </w:r>
      <w:r w:rsidRPr="00000B85">
        <w:rPr>
          <w:rFonts w:hint="eastAsia"/>
        </w:rPr>
        <w:t>下图</w:t>
      </w:r>
      <w:r>
        <w:rPr>
          <w:rFonts w:hint="eastAsia"/>
        </w:rPr>
        <w:t>载</w:t>
      </w:r>
      <w:r w:rsidRPr="00000B85">
        <w:rPr>
          <w:rFonts w:hint="eastAsia"/>
        </w:rPr>
        <w:t>列紧</w:t>
      </w:r>
      <w:proofErr w:type="gramStart"/>
      <w:r w:rsidRPr="00000B85">
        <w:rPr>
          <w:rFonts w:hint="eastAsia"/>
        </w:rPr>
        <w:t>接</w:t>
      </w:r>
      <w:r>
        <w:rPr>
          <w:rFonts w:hint="eastAsia"/>
        </w:rPr>
        <w:t>签订</w:t>
      </w:r>
      <w:proofErr w:type="gramEnd"/>
      <w:r>
        <w:rPr>
          <w:rFonts w:hint="eastAsia"/>
        </w:rPr>
        <w:t>7</w:t>
      </w:r>
      <w:r>
        <w:t>5</w:t>
      </w:r>
      <w:r>
        <w:rPr>
          <w:rFonts w:hint="eastAsia"/>
        </w:rPr>
        <w:t>%</w:t>
      </w:r>
      <w:r>
        <w:t>W</w:t>
      </w:r>
      <w:r>
        <w:rPr>
          <w:rFonts w:hint="eastAsia"/>
        </w:rPr>
        <w:t>idefaith</w:t>
      </w:r>
      <w:r>
        <w:rPr>
          <w:rFonts w:hint="eastAsia"/>
        </w:rPr>
        <w:t>买卖协议</w:t>
      </w:r>
      <w:proofErr w:type="gramStart"/>
      <w:r>
        <w:rPr>
          <w:rFonts w:hint="eastAsia"/>
        </w:rPr>
        <w:t>前项目</w:t>
      </w:r>
      <w:proofErr w:type="gramEnd"/>
      <w:r>
        <w:rPr>
          <w:rFonts w:hint="eastAsia"/>
        </w:rPr>
        <w:t>公司之股权架构：</w:t>
      </w:r>
    </w:p>
    <w:p w:rsidR="00000B85" w:rsidRDefault="00000B85" w:rsidP="00E805BC">
      <w:pPr>
        <w:spacing w:line="240" w:lineRule="auto"/>
        <w:ind w:firstLine="480"/>
        <w:jc w:val="center"/>
        <w:rPr>
          <w:rFonts w:cs="Times New Roman"/>
          <w:b/>
          <w:color w:val="000000"/>
          <w:kern w:val="0"/>
          <w:szCs w:val="24"/>
        </w:rPr>
      </w:pPr>
      <w:r>
        <w:rPr>
          <w:noProof/>
        </w:rPr>
        <w:drawing>
          <wp:inline distT="0" distB="0" distL="0" distR="0" wp14:anchorId="009CBC88" wp14:editId="3FFBC6EE">
            <wp:extent cx="4884875" cy="36639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89495" cy="3667416"/>
                    </a:xfrm>
                    <a:prstGeom prst="rect">
                      <a:avLst/>
                    </a:prstGeom>
                  </pic:spPr>
                </pic:pic>
              </a:graphicData>
            </a:graphic>
          </wp:inline>
        </w:drawing>
      </w:r>
    </w:p>
    <w:p w:rsidR="00000B85" w:rsidRPr="00000B85" w:rsidRDefault="00000B85" w:rsidP="00E805BC">
      <w:pPr>
        <w:ind w:firstLine="480"/>
      </w:pPr>
      <w:r w:rsidRPr="00000B85">
        <w:rPr>
          <w:rFonts w:hint="eastAsia"/>
        </w:rPr>
        <w:t>下图</w:t>
      </w:r>
      <w:r>
        <w:rPr>
          <w:rFonts w:hint="eastAsia"/>
        </w:rPr>
        <w:t>载</w:t>
      </w:r>
      <w:r w:rsidRPr="00000B85">
        <w:rPr>
          <w:rFonts w:hint="eastAsia"/>
        </w:rPr>
        <w:t>列紧</w:t>
      </w:r>
      <w:proofErr w:type="gramStart"/>
      <w:r w:rsidRPr="00000B85">
        <w:rPr>
          <w:rFonts w:hint="eastAsia"/>
        </w:rPr>
        <w:t>接</w:t>
      </w:r>
      <w:r>
        <w:rPr>
          <w:rFonts w:hint="eastAsia"/>
        </w:rPr>
        <w:t>签订</w:t>
      </w:r>
      <w:proofErr w:type="gramEnd"/>
      <w:r>
        <w:rPr>
          <w:rFonts w:hint="eastAsia"/>
        </w:rPr>
        <w:t>7</w:t>
      </w:r>
      <w:r>
        <w:t>5</w:t>
      </w:r>
      <w:r>
        <w:rPr>
          <w:rFonts w:hint="eastAsia"/>
        </w:rPr>
        <w:t>%</w:t>
      </w:r>
      <w:r>
        <w:t>W</w:t>
      </w:r>
      <w:r>
        <w:rPr>
          <w:rFonts w:hint="eastAsia"/>
        </w:rPr>
        <w:t>idefaith</w:t>
      </w:r>
      <w:r>
        <w:rPr>
          <w:rFonts w:hint="eastAsia"/>
        </w:rPr>
        <w:t>买卖协议项下之第四阶段收购事项完成时项目公司之股权架构：</w:t>
      </w:r>
    </w:p>
    <w:p w:rsidR="00000B85" w:rsidRDefault="00000B85" w:rsidP="00E805BC">
      <w:pPr>
        <w:spacing w:line="240" w:lineRule="auto"/>
        <w:ind w:firstLine="482"/>
        <w:jc w:val="center"/>
        <w:rPr>
          <w:rFonts w:cs="Times New Roman"/>
          <w:b/>
          <w:color w:val="000000"/>
          <w:kern w:val="0"/>
          <w:szCs w:val="24"/>
        </w:rPr>
      </w:pPr>
      <w:r w:rsidRPr="00E805BC">
        <w:rPr>
          <w:rFonts w:cs="Times New Roman"/>
          <w:b/>
          <w:noProof/>
          <w:color w:val="000000"/>
          <w:kern w:val="0"/>
          <w:szCs w:val="24"/>
        </w:rPr>
        <w:drawing>
          <wp:inline distT="0" distB="0" distL="0" distR="0" wp14:anchorId="031723CE" wp14:editId="5A6198BA">
            <wp:extent cx="3835400" cy="264913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42788" cy="2654235"/>
                    </a:xfrm>
                    <a:prstGeom prst="rect">
                      <a:avLst/>
                    </a:prstGeom>
                  </pic:spPr>
                </pic:pic>
              </a:graphicData>
            </a:graphic>
          </wp:inline>
        </w:drawing>
      </w:r>
    </w:p>
    <w:p w:rsidR="00000B85" w:rsidRDefault="00000B85" w:rsidP="00E805BC">
      <w:pPr>
        <w:ind w:firstLine="480"/>
      </w:pPr>
      <w:r w:rsidRPr="00000B85">
        <w:rPr>
          <w:rFonts w:hint="eastAsia"/>
        </w:rPr>
        <w:t>于</w:t>
      </w:r>
      <w:r>
        <w:rPr>
          <w:rFonts w:hint="eastAsia"/>
        </w:rPr>
        <w:t>完成时</w:t>
      </w:r>
      <w:r w:rsidR="000C66BB">
        <w:rPr>
          <w:rFonts w:hint="eastAsia"/>
        </w:rPr>
        <w:t>，</w:t>
      </w:r>
      <w:proofErr w:type="spellStart"/>
      <w:r>
        <w:rPr>
          <w:rFonts w:hint="eastAsia"/>
        </w:rPr>
        <w:t>Moscan</w:t>
      </w:r>
      <w:proofErr w:type="spellEnd"/>
      <w:r>
        <w:rPr>
          <w:rFonts w:hint="eastAsia"/>
        </w:rPr>
        <w:t>将直接拥有</w:t>
      </w:r>
      <w:proofErr w:type="spellStart"/>
      <w:r>
        <w:rPr>
          <w:rFonts w:hint="eastAsia"/>
        </w:rPr>
        <w:t>Widefaith</w:t>
      </w:r>
      <w:proofErr w:type="spellEnd"/>
      <w:r>
        <w:rPr>
          <w:rFonts w:hint="eastAsia"/>
        </w:rPr>
        <w:t>全部已发行股份之</w:t>
      </w:r>
      <w:r>
        <w:rPr>
          <w:rFonts w:hint="eastAsia"/>
        </w:rPr>
        <w:t>1</w:t>
      </w:r>
      <w:r>
        <w:t>00</w:t>
      </w:r>
      <w:r>
        <w:rPr>
          <w:rFonts w:hint="eastAsia"/>
        </w:rPr>
        <w:t>%</w:t>
      </w:r>
      <w:r w:rsidR="000C66BB">
        <w:rPr>
          <w:rFonts w:hint="eastAsia"/>
        </w:rPr>
        <w:t>，</w:t>
      </w:r>
      <w:r>
        <w:rPr>
          <w:rFonts w:hint="eastAsia"/>
        </w:rPr>
        <w:t>并将直</w:t>
      </w:r>
      <w:r>
        <w:rPr>
          <w:rFonts w:hint="eastAsia"/>
        </w:rPr>
        <w:lastRenderedPageBreak/>
        <w:t>接及间接拥有</w:t>
      </w:r>
      <w:r>
        <w:rPr>
          <w:rFonts w:hint="eastAsia"/>
        </w:rPr>
        <w:t>C</w:t>
      </w:r>
      <w:r>
        <w:t>FC</w:t>
      </w:r>
      <w:r>
        <w:rPr>
          <w:rFonts w:hint="eastAsia"/>
        </w:rPr>
        <w:t>全部已发行股份之</w:t>
      </w:r>
      <w:r>
        <w:rPr>
          <w:rFonts w:hint="eastAsia"/>
        </w:rPr>
        <w:t>1</w:t>
      </w:r>
      <w:r>
        <w:t>00</w:t>
      </w:r>
      <w:r>
        <w:rPr>
          <w:rFonts w:hint="eastAsia"/>
        </w:rPr>
        <w:t>%</w:t>
      </w:r>
      <w:r w:rsidR="000C66BB">
        <w:rPr>
          <w:rFonts w:hint="eastAsia"/>
        </w:rPr>
        <w:t>，</w:t>
      </w:r>
      <w:r>
        <w:rPr>
          <w:rFonts w:hint="eastAsia"/>
        </w:rPr>
        <w:t>即</w:t>
      </w:r>
      <w:proofErr w:type="gramStart"/>
      <w:r>
        <w:rPr>
          <w:rFonts w:hint="eastAsia"/>
        </w:rPr>
        <w:t>合共占</w:t>
      </w:r>
      <w:proofErr w:type="gramEnd"/>
      <w:r>
        <w:rPr>
          <w:rFonts w:hint="eastAsia"/>
        </w:rPr>
        <w:t>项目公司</w:t>
      </w:r>
      <w:r>
        <w:t>95</w:t>
      </w:r>
      <w:r>
        <w:rPr>
          <w:rFonts w:hint="eastAsia"/>
        </w:rPr>
        <w:t>%</w:t>
      </w:r>
      <w:r>
        <w:rPr>
          <w:rFonts w:hint="eastAsia"/>
        </w:rPr>
        <w:t>之实际权益。</w:t>
      </w:r>
    </w:p>
    <w:p w:rsidR="00176905" w:rsidRDefault="00896592" w:rsidP="00E805BC">
      <w:pPr>
        <w:ind w:firstLine="480"/>
      </w:pPr>
      <w:r>
        <w:rPr>
          <w:rFonts w:hint="eastAsia"/>
        </w:rPr>
        <w:t>根据</w:t>
      </w:r>
      <w:r>
        <w:rPr>
          <w:rFonts w:hint="eastAsia"/>
        </w:rPr>
        <w:t>C</w:t>
      </w:r>
      <w:r>
        <w:t>FC</w:t>
      </w:r>
      <w:r>
        <w:rPr>
          <w:rFonts w:hint="eastAsia"/>
        </w:rPr>
        <w:t>之经审核综合财务报表</w:t>
      </w:r>
      <w:r w:rsidR="000C66BB">
        <w:rPr>
          <w:rFonts w:hint="eastAsia"/>
        </w:rPr>
        <w:t>，</w:t>
      </w:r>
      <w:r>
        <w:rPr>
          <w:rFonts w:hint="eastAsia"/>
        </w:rPr>
        <w:t>于截至</w:t>
      </w:r>
      <w:r>
        <w:rPr>
          <w:rFonts w:hint="eastAsia"/>
        </w:rPr>
        <w:t>2</w:t>
      </w:r>
      <w:r>
        <w:t>009</w:t>
      </w:r>
      <w:r>
        <w:rPr>
          <w:rFonts w:hint="eastAsia"/>
        </w:rPr>
        <w:t>年及</w:t>
      </w:r>
      <w:r>
        <w:rPr>
          <w:rFonts w:hint="eastAsia"/>
        </w:rPr>
        <w:t>2</w:t>
      </w:r>
      <w:r>
        <w:t>010</w:t>
      </w:r>
      <w:r>
        <w:rPr>
          <w:rFonts w:hint="eastAsia"/>
        </w:rPr>
        <w:t>年</w:t>
      </w:r>
      <w:r>
        <w:rPr>
          <w:rFonts w:hint="eastAsia"/>
        </w:rPr>
        <w:t>1</w:t>
      </w:r>
      <w:r>
        <w:t>2</w:t>
      </w:r>
      <w:r>
        <w:rPr>
          <w:rFonts w:hint="eastAsia"/>
        </w:rPr>
        <w:t>月</w:t>
      </w:r>
      <w:r>
        <w:rPr>
          <w:rFonts w:hint="eastAsia"/>
        </w:rPr>
        <w:t>3</w:t>
      </w:r>
      <w:r>
        <w:t>1</w:t>
      </w:r>
      <w:r>
        <w:rPr>
          <w:rFonts w:hint="eastAsia"/>
        </w:rPr>
        <w:t>日</w:t>
      </w:r>
      <w:proofErr w:type="gramStart"/>
      <w:r>
        <w:rPr>
          <w:rFonts w:hint="eastAsia"/>
        </w:rPr>
        <w:t>止</w:t>
      </w:r>
      <w:proofErr w:type="gramEnd"/>
      <w:r>
        <w:rPr>
          <w:rFonts w:hint="eastAsia"/>
        </w:rPr>
        <w:t>年度</w:t>
      </w:r>
      <w:r w:rsidR="000C66BB">
        <w:rPr>
          <w:rFonts w:hint="eastAsia"/>
        </w:rPr>
        <w:t>，</w:t>
      </w:r>
      <w:r>
        <w:rPr>
          <w:rFonts w:hint="eastAsia"/>
        </w:rPr>
        <w:t>C</w:t>
      </w:r>
      <w:r>
        <w:t>FC</w:t>
      </w:r>
      <w:r>
        <w:rPr>
          <w:rFonts w:hint="eastAsia"/>
        </w:rPr>
        <w:t>之溢</w:t>
      </w:r>
      <w:proofErr w:type="gramStart"/>
      <w:r>
        <w:rPr>
          <w:rFonts w:hint="eastAsia"/>
        </w:rPr>
        <w:t>利持续</w:t>
      </w:r>
      <w:proofErr w:type="gramEnd"/>
      <w:r>
        <w:rPr>
          <w:rFonts w:hint="eastAsia"/>
        </w:rPr>
        <w:t>且不断增加</w:t>
      </w:r>
      <w:r w:rsidR="000C66BB">
        <w:rPr>
          <w:rFonts w:hint="eastAsia"/>
        </w:rPr>
        <w:t>，</w:t>
      </w:r>
      <w:r>
        <w:rPr>
          <w:rFonts w:hint="eastAsia"/>
        </w:rPr>
        <w:t>现金</w:t>
      </w:r>
      <w:proofErr w:type="gramStart"/>
      <w:r>
        <w:rPr>
          <w:rFonts w:hint="eastAsia"/>
        </w:rPr>
        <w:t>流稳定</w:t>
      </w:r>
      <w:proofErr w:type="gramEnd"/>
      <w:r>
        <w:rPr>
          <w:rFonts w:hint="eastAsia"/>
        </w:rPr>
        <w:t>且为正数。</w:t>
      </w:r>
      <w:r>
        <w:rPr>
          <w:rFonts w:hint="eastAsia"/>
        </w:rPr>
        <w:t>C</w:t>
      </w:r>
      <w:r>
        <w:t>FC</w:t>
      </w:r>
      <w:r>
        <w:rPr>
          <w:rFonts w:hint="eastAsia"/>
        </w:rPr>
        <w:t>收入主要为经营杭州绕城公路之收费。</w:t>
      </w:r>
      <w:r>
        <w:rPr>
          <w:rFonts w:hint="eastAsia"/>
        </w:rPr>
        <w:t>C</w:t>
      </w:r>
      <w:r>
        <w:t>FC</w:t>
      </w:r>
      <w:r>
        <w:rPr>
          <w:rFonts w:hint="eastAsia"/>
        </w:rPr>
        <w:t>之主要财务指标概述如下：</w:t>
      </w:r>
    </w:p>
    <w:p w:rsidR="00054CB8" w:rsidRPr="00E805BC" w:rsidRDefault="00054CB8" w:rsidP="00E805BC">
      <w:pPr>
        <w:ind w:firstLine="482"/>
        <w:rPr>
          <w:b/>
        </w:rPr>
      </w:pPr>
    </w:p>
    <w:p w:rsidR="005D0599" w:rsidRPr="00E805BC" w:rsidRDefault="009A00A7" w:rsidP="00E805BC">
      <w:pPr>
        <w:spacing w:line="240" w:lineRule="auto"/>
        <w:ind w:firstLine="482"/>
        <w:jc w:val="center"/>
        <w:rPr>
          <w:rFonts w:cs="Times New Roman"/>
          <w:b/>
          <w:color w:val="000000"/>
          <w:kern w:val="0"/>
          <w:szCs w:val="24"/>
        </w:rPr>
      </w:pPr>
      <w:r w:rsidRPr="00E805BC">
        <w:rPr>
          <w:rFonts w:cs="Times New Roman"/>
          <w:b/>
          <w:noProof/>
          <w:color w:val="000000"/>
          <w:kern w:val="0"/>
          <w:szCs w:val="24"/>
        </w:rPr>
        <w:drawing>
          <wp:inline distT="0" distB="0" distL="0" distR="0" wp14:anchorId="79DD3DA2" wp14:editId="77A47EA7">
            <wp:extent cx="5137785" cy="1225550"/>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38598" cy="1225744"/>
                    </a:xfrm>
                    <a:prstGeom prst="rect">
                      <a:avLst/>
                    </a:prstGeom>
                  </pic:spPr>
                </pic:pic>
              </a:graphicData>
            </a:graphic>
          </wp:inline>
        </w:drawing>
      </w:r>
    </w:p>
    <w:p w:rsidR="00176905" w:rsidRPr="00176905" w:rsidRDefault="00176905" w:rsidP="00176905">
      <w:pPr>
        <w:ind w:firstLine="480"/>
        <w:rPr>
          <w:rFonts w:cs="Times New Roman"/>
          <w:color w:val="000000"/>
          <w:kern w:val="0"/>
          <w:szCs w:val="24"/>
        </w:rPr>
      </w:pPr>
    </w:p>
    <w:p w:rsidR="00176905" w:rsidRDefault="00E604CE" w:rsidP="00E805BC">
      <w:pPr>
        <w:ind w:firstLine="480"/>
      </w:pPr>
      <w:r w:rsidRPr="00E604CE">
        <w:rPr>
          <w:rFonts w:hint="eastAsia"/>
        </w:rPr>
        <w:t>对</w:t>
      </w:r>
      <w:r>
        <w:rPr>
          <w:rFonts w:hint="eastAsia"/>
        </w:rPr>
        <w:t>杭州绕城公路</w:t>
      </w:r>
      <w:r w:rsidR="004E3256">
        <w:rPr>
          <w:rFonts w:hint="eastAsia"/>
        </w:rPr>
        <w:t>未来产生的交通费年度收益如下</w:t>
      </w:r>
      <w:r w:rsidR="00DF46FC">
        <w:rPr>
          <w:rFonts w:hint="eastAsia"/>
        </w:rPr>
        <w:t>（修正系数法得出未来收益预计之最高值，而回归分析</w:t>
      </w:r>
      <w:proofErr w:type="gramStart"/>
      <w:r w:rsidR="00DF46FC">
        <w:rPr>
          <w:rFonts w:hint="eastAsia"/>
        </w:rPr>
        <w:t>法收益</w:t>
      </w:r>
      <w:proofErr w:type="gramEnd"/>
      <w:r w:rsidR="00DF46FC">
        <w:rPr>
          <w:rFonts w:hint="eastAsia"/>
        </w:rPr>
        <w:t>为未来收益预计之最低值；基本情况</w:t>
      </w:r>
      <w:proofErr w:type="gramStart"/>
      <w:r w:rsidR="00DF46FC">
        <w:rPr>
          <w:rFonts w:hint="eastAsia"/>
        </w:rPr>
        <w:t>为估计</w:t>
      </w:r>
      <w:proofErr w:type="gramEnd"/>
      <w:r w:rsidR="00DF46FC">
        <w:rPr>
          <w:rFonts w:hint="eastAsia"/>
        </w:rPr>
        <w:t>结果之平均值）：</w:t>
      </w:r>
    </w:p>
    <w:p w:rsidR="00C20D00" w:rsidRPr="00DF46FC" w:rsidRDefault="00C20D00" w:rsidP="00C20D00">
      <w:pPr>
        <w:ind w:firstLine="480"/>
        <w:jc w:val="center"/>
        <w:rPr>
          <w:rFonts w:cs="Times New Roman"/>
          <w:color w:val="000000"/>
          <w:kern w:val="0"/>
          <w:szCs w:val="24"/>
        </w:rPr>
      </w:pPr>
    </w:p>
    <w:p w:rsidR="00C20D00" w:rsidRPr="00E805BC" w:rsidRDefault="004E3256" w:rsidP="00E805BC">
      <w:pPr>
        <w:spacing w:line="240" w:lineRule="auto"/>
        <w:ind w:firstLine="482"/>
        <w:jc w:val="center"/>
        <w:rPr>
          <w:rFonts w:cs="Times New Roman"/>
          <w:b/>
          <w:color w:val="000000"/>
          <w:kern w:val="0"/>
          <w:szCs w:val="24"/>
        </w:rPr>
      </w:pPr>
      <w:r w:rsidRPr="00E805BC">
        <w:rPr>
          <w:rFonts w:cs="Times New Roman"/>
          <w:b/>
          <w:noProof/>
          <w:color w:val="000000"/>
          <w:kern w:val="0"/>
          <w:szCs w:val="24"/>
        </w:rPr>
        <w:drawing>
          <wp:inline distT="0" distB="0" distL="0" distR="0" wp14:anchorId="09AFF61D" wp14:editId="51D218A5">
            <wp:extent cx="4781550" cy="2051429"/>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18918" cy="2067461"/>
                    </a:xfrm>
                    <a:prstGeom prst="rect">
                      <a:avLst/>
                    </a:prstGeom>
                  </pic:spPr>
                </pic:pic>
              </a:graphicData>
            </a:graphic>
          </wp:inline>
        </w:drawing>
      </w:r>
    </w:p>
    <w:p w:rsidR="00C20D00" w:rsidRPr="00176905" w:rsidRDefault="00C20D00" w:rsidP="00176905">
      <w:pPr>
        <w:ind w:firstLine="480"/>
        <w:rPr>
          <w:rFonts w:cs="Times New Roman"/>
          <w:color w:val="000000"/>
          <w:kern w:val="0"/>
          <w:szCs w:val="24"/>
        </w:rPr>
      </w:pPr>
    </w:p>
    <w:p w:rsidR="00E35B2C" w:rsidRDefault="0047711F" w:rsidP="00E805BC">
      <w:pPr>
        <w:ind w:firstLine="480"/>
      </w:pPr>
      <w:r>
        <w:rPr>
          <w:rFonts w:hint="eastAsia"/>
        </w:rPr>
        <w:t>吾等理解</w:t>
      </w:r>
      <w:r w:rsidR="000C66BB">
        <w:rPr>
          <w:rFonts w:hint="eastAsia"/>
        </w:rPr>
        <w:t>，</w:t>
      </w:r>
      <w:r>
        <w:rPr>
          <w:rFonts w:hint="eastAsia"/>
        </w:rPr>
        <w:t>估值师已考虑三种不同至估值方法</w:t>
      </w:r>
      <w:r w:rsidR="000C66BB">
        <w:rPr>
          <w:rFonts w:hint="eastAsia"/>
        </w:rPr>
        <w:t>，</w:t>
      </w:r>
      <w:r>
        <w:rPr>
          <w:rFonts w:hint="eastAsia"/>
        </w:rPr>
        <w:t>包括市场法、成本法及收入法。</w:t>
      </w:r>
      <w:r w:rsidR="00E35B2C">
        <w:rPr>
          <w:rFonts w:hint="eastAsia"/>
        </w:rPr>
        <w:t>于确定</w:t>
      </w:r>
      <w:r w:rsidR="00E35B2C">
        <w:rPr>
          <w:rFonts w:hint="eastAsia"/>
        </w:rPr>
        <w:t>C</w:t>
      </w:r>
      <w:r w:rsidR="00E35B2C">
        <w:t>FC</w:t>
      </w:r>
      <w:r w:rsidR="00E35B2C">
        <w:rPr>
          <w:rFonts w:hint="eastAsia"/>
        </w:rPr>
        <w:t>估值时</w:t>
      </w:r>
      <w:r w:rsidR="000C66BB">
        <w:rPr>
          <w:rFonts w:hint="eastAsia"/>
        </w:rPr>
        <w:t>，</w:t>
      </w:r>
      <w:r w:rsidR="00E35B2C">
        <w:rPr>
          <w:rFonts w:hint="eastAsia"/>
        </w:rPr>
        <w:t>估值师认为：</w:t>
      </w:r>
    </w:p>
    <w:p w:rsidR="00E35B2C" w:rsidRDefault="00E35B2C" w:rsidP="00E805BC">
      <w:pPr>
        <w:ind w:firstLine="480"/>
      </w:pPr>
      <w:r>
        <w:rPr>
          <w:rFonts w:hint="eastAsia"/>
        </w:rPr>
        <w:t>市场法对</w:t>
      </w:r>
      <w:r>
        <w:rPr>
          <w:rFonts w:hint="eastAsia"/>
        </w:rPr>
        <w:t>C</w:t>
      </w:r>
      <w:r>
        <w:t>FC</w:t>
      </w:r>
      <w:r>
        <w:rPr>
          <w:rFonts w:hint="eastAsia"/>
        </w:rPr>
        <w:t>估值不合适</w:t>
      </w:r>
      <w:r w:rsidR="000C66BB">
        <w:rPr>
          <w:rFonts w:hint="eastAsia"/>
        </w:rPr>
        <w:t>，</w:t>
      </w:r>
      <w:r>
        <w:rPr>
          <w:rFonts w:hint="eastAsia"/>
        </w:rPr>
        <w:t>原因是</w:t>
      </w:r>
      <w:r w:rsidR="000C66BB">
        <w:rPr>
          <w:rFonts w:hint="eastAsia"/>
        </w:rPr>
        <w:t>，</w:t>
      </w:r>
      <w:r>
        <w:rPr>
          <w:rFonts w:hint="eastAsia"/>
        </w:rPr>
        <w:t>每条收费公路可能独一无二</w:t>
      </w:r>
      <w:r w:rsidR="000C66BB">
        <w:rPr>
          <w:rFonts w:hint="eastAsia"/>
        </w:rPr>
        <w:t>，</w:t>
      </w:r>
      <w:r>
        <w:rPr>
          <w:rFonts w:hint="eastAsia"/>
        </w:rPr>
        <w:t>并</w:t>
      </w:r>
      <w:r w:rsidR="005B2DA5">
        <w:rPr>
          <w:rFonts w:hint="eastAsia"/>
        </w:rPr>
        <w:t>可能对交易价格有各种不同的考虑后</w:t>
      </w:r>
      <w:r w:rsidR="000C66BB">
        <w:rPr>
          <w:rFonts w:hint="eastAsia"/>
        </w:rPr>
        <w:t>，</w:t>
      </w:r>
      <w:r w:rsidR="005B2DA5">
        <w:rPr>
          <w:rFonts w:hint="eastAsia"/>
        </w:rPr>
        <w:t>并未发现可比较之业务市场交易。</w:t>
      </w:r>
    </w:p>
    <w:p w:rsidR="00E35B2C" w:rsidRDefault="005B2DA5" w:rsidP="00E805BC">
      <w:pPr>
        <w:ind w:firstLine="480"/>
      </w:pPr>
      <w:r>
        <w:rPr>
          <w:rFonts w:hint="eastAsia"/>
        </w:rPr>
        <w:t>此外</w:t>
      </w:r>
      <w:r w:rsidR="000C66BB">
        <w:rPr>
          <w:rFonts w:hint="eastAsia"/>
        </w:rPr>
        <w:t>，</w:t>
      </w:r>
      <w:r>
        <w:rPr>
          <w:rFonts w:hint="eastAsia"/>
        </w:rPr>
        <w:t>成本法亦不合适</w:t>
      </w:r>
      <w:r w:rsidR="000C66BB">
        <w:rPr>
          <w:rFonts w:hint="eastAsia"/>
        </w:rPr>
        <w:t>，</w:t>
      </w:r>
      <w:r>
        <w:rPr>
          <w:rFonts w:hint="eastAsia"/>
        </w:rPr>
        <w:t>由于其并未计入业务之日后盈利潜力。</w:t>
      </w:r>
    </w:p>
    <w:p w:rsidR="002E43D9" w:rsidRDefault="00E35B2C" w:rsidP="00E805BC">
      <w:pPr>
        <w:ind w:firstLine="480"/>
      </w:pPr>
      <w:r>
        <w:rPr>
          <w:rFonts w:hint="eastAsia"/>
        </w:rPr>
        <w:t>如业务报告所披露</w:t>
      </w:r>
      <w:r w:rsidR="000C66BB">
        <w:rPr>
          <w:rFonts w:hint="eastAsia"/>
        </w:rPr>
        <w:t>，</w:t>
      </w:r>
      <w:r>
        <w:rPr>
          <w:rFonts w:hint="eastAsia"/>
        </w:rPr>
        <w:t>估值师采纳</w:t>
      </w:r>
      <w:proofErr w:type="gramStart"/>
      <w:r>
        <w:rPr>
          <w:rFonts w:hint="eastAsia"/>
        </w:rPr>
        <w:t>收入法项下</w:t>
      </w:r>
      <w:proofErr w:type="gramEnd"/>
      <w:r>
        <w:rPr>
          <w:rFonts w:hint="eastAsia"/>
        </w:rPr>
        <w:t>之现金流折现法</w:t>
      </w:r>
      <w:r w:rsidR="000C66BB">
        <w:rPr>
          <w:rFonts w:hint="eastAsia"/>
        </w:rPr>
        <w:t>，</w:t>
      </w:r>
      <w:proofErr w:type="gramStart"/>
      <w:r>
        <w:rPr>
          <w:rFonts w:hint="eastAsia"/>
        </w:rPr>
        <w:t>按反映</w:t>
      </w:r>
      <w:proofErr w:type="gramEnd"/>
      <w:r>
        <w:rPr>
          <w:rFonts w:hint="eastAsia"/>
        </w:rPr>
        <w:t>目前市场回报要求</w:t>
      </w:r>
      <w:proofErr w:type="gramStart"/>
      <w:r>
        <w:rPr>
          <w:rFonts w:hint="eastAsia"/>
        </w:rPr>
        <w:t>及持定投资</w:t>
      </w:r>
      <w:proofErr w:type="gramEnd"/>
      <w:r>
        <w:rPr>
          <w:rFonts w:hint="eastAsia"/>
        </w:rPr>
        <w:t>之内在风险之折现率将未来现金流净额折现为现值。吾等同意以估值时之意见</w:t>
      </w:r>
      <w:r w:rsidR="000C66BB">
        <w:rPr>
          <w:rFonts w:hint="eastAsia"/>
        </w:rPr>
        <w:t>，</w:t>
      </w:r>
      <w:r w:rsidR="0047711F" w:rsidRPr="0047711F">
        <w:rPr>
          <w:rFonts w:hint="eastAsia"/>
        </w:rPr>
        <w:t>由于</w:t>
      </w:r>
      <w:r w:rsidR="0047711F">
        <w:rPr>
          <w:rFonts w:hint="eastAsia"/>
        </w:rPr>
        <w:t>来自杭州绕城公路收费收入之经常性质</w:t>
      </w:r>
      <w:r w:rsidR="000C66BB">
        <w:rPr>
          <w:rFonts w:hint="eastAsia"/>
        </w:rPr>
        <w:t>，</w:t>
      </w:r>
      <w:r w:rsidR="0047711F">
        <w:rPr>
          <w:rFonts w:hint="eastAsia"/>
        </w:rPr>
        <w:t>现金流折现</w:t>
      </w:r>
      <w:r w:rsidR="0047711F">
        <w:rPr>
          <w:rFonts w:hint="eastAsia"/>
        </w:rPr>
        <w:lastRenderedPageBreak/>
        <w:t>法对</w:t>
      </w:r>
      <w:r w:rsidR="0047711F">
        <w:rPr>
          <w:rFonts w:hint="eastAsia"/>
        </w:rPr>
        <w:t>C</w:t>
      </w:r>
      <w:r w:rsidR="0047711F">
        <w:t>FC</w:t>
      </w:r>
      <w:r w:rsidR="0047711F">
        <w:rPr>
          <w:rFonts w:hint="eastAsia"/>
        </w:rPr>
        <w:t>估值</w:t>
      </w:r>
      <w:proofErr w:type="gramStart"/>
      <w:r w:rsidR="0047711F">
        <w:rPr>
          <w:rFonts w:hint="eastAsia"/>
        </w:rPr>
        <w:t>而言属</w:t>
      </w:r>
      <w:proofErr w:type="gramEnd"/>
      <w:r w:rsidR="0047711F">
        <w:rPr>
          <w:rFonts w:hint="eastAsia"/>
        </w:rPr>
        <w:t>合适</w:t>
      </w:r>
      <w:r w:rsidR="000C66BB">
        <w:rPr>
          <w:rFonts w:hint="eastAsia"/>
        </w:rPr>
        <w:t>，</w:t>
      </w:r>
      <w:r w:rsidR="0047711F">
        <w:rPr>
          <w:rFonts w:hint="eastAsia"/>
        </w:rPr>
        <w:t>吾等从估值师了解</w:t>
      </w:r>
      <w:r w:rsidR="000C66BB">
        <w:rPr>
          <w:rFonts w:hint="eastAsia"/>
        </w:rPr>
        <w:t>，</w:t>
      </w:r>
      <w:r w:rsidR="0047711F">
        <w:rPr>
          <w:rFonts w:hint="eastAsia"/>
        </w:rPr>
        <w:t>现金流折现法是高速公路项目估值中最常用之估值法。</w:t>
      </w:r>
    </w:p>
    <w:p w:rsidR="00C604F7" w:rsidRDefault="00C604F7" w:rsidP="00E805BC">
      <w:pPr>
        <w:ind w:firstLine="480"/>
      </w:pPr>
      <w:r>
        <w:rPr>
          <w:rFonts w:hint="eastAsia"/>
        </w:rPr>
        <w:t>于使用现金流折现</w:t>
      </w:r>
      <w:proofErr w:type="gramStart"/>
      <w:r>
        <w:rPr>
          <w:rFonts w:hint="eastAsia"/>
        </w:rPr>
        <w:t>法估计</w:t>
      </w:r>
      <w:proofErr w:type="gramEnd"/>
      <w:r>
        <w:rPr>
          <w:rFonts w:hint="eastAsia"/>
        </w:rPr>
        <w:t>C</w:t>
      </w:r>
      <w:r>
        <w:t>FC</w:t>
      </w:r>
      <w:r>
        <w:rPr>
          <w:rFonts w:hint="eastAsia"/>
        </w:rPr>
        <w:t>现值时，需确定折现率对未来现金流进行折现。吾等注意到，估值师于现金流折现法模型中，采纳</w:t>
      </w:r>
      <w:r>
        <w:rPr>
          <w:rFonts w:hint="eastAsia"/>
        </w:rPr>
        <w:t>1</w:t>
      </w:r>
      <w:r>
        <w:t>1.00</w:t>
      </w:r>
      <w:r>
        <w:rPr>
          <w:rFonts w:hint="eastAsia"/>
        </w:rPr>
        <w:t>%</w:t>
      </w:r>
      <w:r>
        <w:rPr>
          <w:rFonts w:hint="eastAsia"/>
        </w:rPr>
        <w:t>之折现率，以得出</w:t>
      </w:r>
      <w:r>
        <w:rPr>
          <w:rFonts w:hint="eastAsia"/>
        </w:rPr>
        <w:t>C</w:t>
      </w:r>
      <w:r>
        <w:t>FC</w:t>
      </w:r>
      <w:r>
        <w:rPr>
          <w:rFonts w:hint="eastAsia"/>
        </w:rPr>
        <w:t>估值。</w:t>
      </w:r>
    </w:p>
    <w:p w:rsidR="003F5E8A" w:rsidRPr="003F5E8A" w:rsidRDefault="003F5E8A" w:rsidP="003F5E8A">
      <w:pPr>
        <w:ind w:firstLine="480"/>
        <w:rPr>
          <w:rFonts w:cs="Times New Roman"/>
          <w:color w:val="000000"/>
          <w:kern w:val="0"/>
          <w:szCs w:val="24"/>
        </w:rPr>
      </w:pPr>
    </w:p>
    <w:p w:rsidR="001B1EB0" w:rsidRPr="00F51174" w:rsidRDefault="001B1EB0" w:rsidP="001B1EB0">
      <w:pPr>
        <w:ind w:firstLine="482"/>
        <w:rPr>
          <w:rFonts w:cs="Times New Roman"/>
          <w:b/>
          <w:color w:val="000000"/>
          <w:kern w:val="0"/>
          <w:szCs w:val="24"/>
        </w:rPr>
      </w:pPr>
      <w:r w:rsidRPr="00BC1345">
        <w:rPr>
          <w:rFonts w:cs="Times New Roman" w:hint="eastAsia"/>
          <w:b/>
          <w:color w:val="000000"/>
          <w:kern w:val="0"/>
          <w:szCs w:val="24"/>
        </w:rPr>
        <w:t>附件</w:t>
      </w:r>
      <w:r w:rsidRPr="00BC1345">
        <w:rPr>
          <w:rFonts w:cs="Times New Roman"/>
          <w:b/>
          <w:color w:val="000000"/>
          <w:kern w:val="0"/>
          <w:szCs w:val="24"/>
        </w:rPr>
        <w:t>2</w:t>
      </w:r>
      <w:r w:rsidRPr="00BC1345">
        <w:rPr>
          <w:rFonts w:cs="Times New Roman"/>
          <w:b/>
          <w:color w:val="000000"/>
          <w:kern w:val="0"/>
          <w:szCs w:val="24"/>
        </w:rPr>
        <w:t>：</w:t>
      </w:r>
      <w:r w:rsidR="00F51174" w:rsidRPr="00F51174">
        <w:rPr>
          <w:rFonts w:cs="Times New Roman" w:hint="eastAsia"/>
          <w:b/>
          <w:color w:val="000000"/>
          <w:kern w:val="0"/>
          <w:szCs w:val="24"/>
        </w:rPr>
        <w:t>《中华人民共和国企业所得税法》</w:t>
      </w:r>
    </w:p>
    <w:p w:rsidR="005D0599" w:rsidRDefault="00F51174" w:rsidP="00E805BC">
      <w:pPr>
        <w:ind w:firstLine="480"/>
      </w:pPr>
      <w:r w:rsidRPr="00F51174">
        <w:rPr>
          <w:rFonts w:hint="eastAsia"/>
        </w:rPr>
        <w:t>第四十七条</w:t>
      </w:r>
      <w:r>
        <w:rPr>
          <w:rFonts w:hint="eastAsia"/>
        </w:rPr>
        <w:t>：</w:t>
      </w:r>
      <w:r w:rsidRPr="00F51174">
        <w:rPr>
          <w:rFonts w:hint="eastAsia"/>
        </w:rPr>
        <w:t>企业实施其他不具有合理商业目的的安排而减少其应纳税收入或者所得额的</w:t>
      </w:r>
      <w:r w:rsidR="000C66BB">
        <w:rPr>
          <w:rFonts w:hint="eastAsia"/>
        </w:rPr>
        <w:t>，</w:t>
      </w:r>
      <w:r w:rsidRPr="00F51174">
        <w:rPr>
          <w:rFonts w:hint="eastAsia"/>
        </w:rPr>
        <w:t>税务机关有权按照合理方法调整。</w:t>
      </w:r>
    </w:p>
    <w:p w:rsidR="00F51174" w:rsidRPr="00F51174" w:rsidRDefault="00F51174" w:rsidP="00F51174">
      <w:pPr>
        <w:ind w:firstLine="480"/>
        <w:rPr>
          <w:rFonts w:cs="Times New Roman"/>
          <w:color w:val="000000"/>
          <w:kern w:val="0"/>
          <w:szCs w:val="24"/>
        </w:rPr>
      </w:pPr>
    </w:p>
    <w:p w:rsidR="00F51174" w:rsidRPr="00F51174" w:rsidRDefault="00F51174" w:rsidP="00F51174">
      <w:pPr>
        <w:ind w:firstLine="482"/>
        <w:rPr>
          <w:rFonts w:cs="Times New Roman"/>
          <w:b/>
          <w:color w:val="000000"/>
          <w:kern w:val="0"/>
          <w:szCs w:val="24"/>
        </w:rPr>
      </w:pPr>
      <w:r w:rsidRPr="00BC1345">
        <w:rPr>
          <w:rFonts w:cs="Times New Roman" w:hint="eastAsia"/>
          <w:b/>
          <w:color w:val="000000"/>
          <w:kern w:val="0"/>
          <w:szCs w:val="24"/>
        </w:rPr>
        <w:t>附件</w:t>
      </w:r>
      <w:r>
        <w:rPr>
          <w:rFonts w:cs="Times New Roman"/>
          <w:b/>
          <w:color w:val="000000"/>
          <w:kern w:val="0"/>
          <w:szCs w:val="24"/>
        </w:rPr>
        <w:t>3</w:t>
      </w:r>
      <w:r w:rsidRPr="00BC1345">
        <w:rPr>
          <w:rFonts w:cs="Times New Roman"/>
          <w:b/>
          <w:color w:val="000000"/>
          <w:kern w:val="0"/>
          <w:szCs w:val="24"/>
        </w:rPr>
        <w:t>：</w:t>
      </w:r>
      <w:r w:rsidRPr="00F51174">
        <w:rPr>
          <w:rFonts w:cs="Times New Roman" w:hint="eastAsia"/>
          <w:b/>
          <w:color w:val="000000"/>
          <w:kern w:val="0"/>
          <w:szCs w:val="24"/>
        </w:rPr>
        <w:t>《中华人民共和国企业所得税法实施条例》</w:t>
      </w:r>
    </w:p>
    <w:p w:rsidR="002E43D9" w:rsidRPr="00E805BC" w:rsidRDefault="00F51174" w:rsidP="00F51174">
      <w:pPr>
        <w:ind w:firstLine="480"/>
      </w:pPr>
      <w:r w:rsidRPr="00E805BC">
        <w:rPr>
          <w:rFonts w:hint="eastAsia"/>
        </w:rPr>
        <w:t>第一百二十条：企业所得税法第四十七条所称不具有合理商业目的</w:t>
      </w:r>
      <w:r w:rsidR="000C66BB" w:rsidRPr="00E805BC">
        <w:rPr>
          <w:rFonts w:hint="eastAsia"/>
        </w:rPr>
        <w:t>，</w:t>
      </w:r>
      <w:r w:rsidRPr="00E805BC">
        <w:rPr>
          <w:rFonts w:hint="eastAsia"/>
        </w:rPr>
        <w:t>是指以减少、免除或者推迟缴纳税款为主要目的。</w:t>
      </w:r>
    </w:p>
    <w:p w:rsidR="00F51174" w:rsidRPr="00F51174" w:rsidRDefault="00F51174" w:rsidP="00F51174">
      <w:pPr>
        <w:ind w:firstLine="480"/>
        <w:rPr>
          <w:rFonts w:cs="Times New Roman"/>
          <w:color w:val="000000"/>
          <w:kern w:val="0"/>
          <w:szCs w:val="24"/>
        </w:rPr>
      </w:pPr>
    </w:p>
    <w:p w:rsidR="00DC7FC0" w:rsidRDefault="00F51174" w:rsidP="00F51174">
      <w:pPr>
        <w:ind w:firstLine="482"/>
        <w:rPr>
          <w:rFonts w:cs="Times New Roman"/>
          <w:b/>
          <w:color w:val="000000"/>
          <w:kern w:val="0"/>
          <w:szCs w:val="24"/>
        </w:rPr>
      </w:pPr>
      <w:r w:rsidRPr="00BC1345">
        <w:rPr>
          <w:rFonts w:cs="Times New Roman" w:hint="eastAsia"/>
          <w:b/>
          <w:color w:val="000000"/>
          <w:kern w:val="0"/>
          <w:szCs w:val="24"/>
        </w:rPr>
        <w:t>附件</w:t>
      </w:r>
      <w:r>
        <w:rPr>
          <w:rFonts w:cs="Times New Roman"/>
          <w:b/>
          <w:color w:val="000000"/>
          <w:kern w:val="0"/>
          <w:szCs w:val="24"/>
        </w:rPr>
        <w:t>4</w:t>
      </w:r>
      <w:r w:rsidRPr="00BC1345">
        <w:rPr>
          <w:rFonts w:cs="Times New Roman"/>
          <w:b/>
          <w:color w:val="000000"/>
          <w:kern w:val="0"/>
          <w:szCs w:val="24"/>
        </w:rPr>
        <w:t>：</w:t>
      </w:r>
      <w:r w:rsidRPr="00F51174">
        <w:rPr>
          <w:rFonts w:cs="Times New Roman" w:hint="eastAsia"/>
          <w:b/>
          <w:color w:val="000000"/>
          <w:kern w:val="0"/>
          <w:szCs w:val="24"/>
        </w:rPr>
        <w:t>《国家税务总局关于加强非居民企业股权转让所得税管理的通知》</w:t>
      </w:r>
      <w:r w:rsidR="001B555A" w:rsidRPr="001B555A">
        <w:rPr>
          <w:rFonts w:cs="Times New Roman" w:hint="eastAsia"/>
          <w:b/>
          <w:color w:val="000000"/>
          <w:kern w:val="0"/>
          <w:szCs w:val="24"/>
        </w:rPr>
        <w:t>国税函</w:t>
      </w:r>
      <w:r w:rsidR="001B555A" w:rsidRPr="001B555A">
        <w:rPr>
          <w:rFonts w:cs="Times New Roman"/>
          <w:b/>
          <w:color w:val="000000"/>
          <w:kern w:val="0"/>
          <w:szCs w:val="24"/>
        </w:rPr>
        <w:t>[2009]698</w:t>
      </w:r>
      <w:r w:rsidR="001B555A" w:rsidRPr="001B555A">
        <w:rPr>
          <w:rFonts w:cs="Times New Roman"/>
          <w:b/>
          <w:color w:val="000000"/>
          <w:kern w:val="0"/>
          <w:szCs w:val="24"/>
        </w:rPr>
        <w:t>号</w:t>
      </w:r>
    </w:p>
    <w:p w:rsidR="00F51174" w:rsidRDefault="001B555A" w:rsidP="00E805BC">
      <w:pPr>
        <w:ind w:firstLine="480"/>
      </w:pPr>
      <w:r w:rsidRPr="001B555A">
        <w:rPr>
          <w:rFonts w:hint="eastAsia"/>
        </w:rPr>
        <w:t>第六条：境外投资方（实际控制方）通过滥用组织形式等安排间接转让中国居民企业股权</w:t>
      </w:r>
      <w:r w:rsidR="000C66BB">
        <w:rPr>
          <w:rFonts w:hint="eastAsia"/>
        </w:rPr>
        <w:t>，</w:t>
      </w:r>
      <w:r w:rsidRPr="001B555A">
        <w:rPr>
          <w:rFonts w:hint="eastAsia"/>
        </w:rPr>
        <w:t>且不具有合理的商业目的</w:t>
      </w:r>
      <w:r w:rsidR="000C66BB">
        <w:rPr>
          <w:rFonts w:hint="eastAsia"/>
        </w:rPr>
        <w:t>，</w:t>
      </w:r>
      <w:r w:rsidRPr="001B555A">
        <w:rPr>
          <w:rFonts w:hint="eastAsia"/>
        </w:rPr>
        <w:t>规避企业所得税纳税义务的</w:t>
      </w:r>
      <w:r w:rsidR="000C66BB">
        <w:rPr>
          <w:rFonts w:hint="eastAsia"/>
        </w:rPr>
        <w:t>，</w:t>
      </w:r>
      <w:r w:rsidRPr="001B555A">
        <w:rPr>
          <w:rFonts w:hint="eastAsia"/>
        </w:rPr>
        <w:t>主管税务机关层报税务总局审核后可以按照经济实质对该股权转让交易重新定性</w:t>
      </w:r>
      <w:r w:rsidR="000C66BB">
        <w:rPr>
          <w:rFonts w:hint="eastAsia"/>
        </w:rPr>
        <w:t>，</w:t>
      </w:r>
      <w:r w:rsidRPr="001B555A">
        <w:rPr>
          <w:rFonts w:hint="eastAsia"/>
        </w:rPr>
        <w:t>否定被用作税收安排的境外控股公司的存在。</w:t>
      </w:r>
    </w:p>
    <w:p w:rsidR="001B555A" w:rsidRDefault="001B555A" w:rsidP="001B555A">
      <w:pPr>
        <w:ind w:firstLine="480"/>
        <w:rPr>
          <w:rFonts w:cs="Times New Roman"/>
          <w:color w:val="000000"/>
          <w:kern w:val="0"/>
          <w:szCs w:val="24"/>
        </w:rPr>
      </w:pPr>
    </w:p>
    <w:p w:rsidR="001B555A" w:rsidRDefault="001B555A" w:rsidP="001B555A">
      <w:pPr>
        <w:ind w:firstLine="482"/>
        <w:rPr>
          <w:rFonts w:cs="Times New Roman"/>
          <w:b/>
          <w:color w:val="000000"/>
          <w:kern w:val="0"/>
          <w:szCs w:val="24"/>
        </w:rPr>
      </w:pPr>
      <w:r w:rsidRPr="00BC1345">
        <w:rPr>
          <w:rFonts w:cs="Times New Roman" w:hint="eastAsia"/>
          <w:b/>
          <w:color w:val="000000"/>
          <w:kern w:val="0"/>
          <w:szCs w:val="24"/>
        </w:rPr>
        <w:t>附件</w:t>
      </w:r>
      <w:r>
        <w:rPr>
          <w:rFonts w:cs="Times New Roman"/>
          <w:b/>
          <w:color w:val="000000"/>
          <w:kern w:val="0"/>
          <w:szCs w:val="24"/>
        </w:rPr>
        <w:t>5</w:t>
      </w:r>
      <w:r w:rsidRPr="00BC1345">
        <w:rPr>
          <w:rFonts w:cs="Times New Roman"/>
          <w:b/>
          <w:color w:val="000000"/>
          <w:kern w:val="0"/>
          <w:szCs w:val="24"/>
        </w:rPr>
        <w:t>：</w:t>
      </w:r>
      <w:r w:rsidRPr="001B555A">
        <w:rPr>
          <w:rFonts w:cs="Times New Roman" w:hint="eastAsia"/>
          <w:b/>
          <w:color w:val="000000"/>
          <w:kern w:val="0"/>
          <w:szCs w:val="24"/>
        </w:rPr>
        <w:t>《最高人民法院关于行政诉讼证据若干问题的规定》法释〔</w:t>
      </w:r>
      <w:r w:rsidRPr="001B555A">
        <w:rPr>
          <w:rFonts w:cs="Times New Roman"/>
          <w:b/>
          <w:color w:val="000000"/>
          <w:kern w:val="0"/>
          <w:szCs w:val="24"/>
        </w:rPr>
        <w:t>2002</w:t>
      </w:r>
      <w:r w:rsidRPr="001B555A">
        <w:rPr>
          <w:rFonts w:cs="Times New Roman"/>
          <w:b/>
          <w:color w:val="000000"/>
          <w:kern w:val="0"/>
          <w:szCs w:val="24"/>
        </w:rPr>
        <w:t>〕</w:t>
      </w:r>
      <w:r w:rsidRPr="001B555A">
        <w:rPr>
          <w:rFonts w:cs="Times New Roman"/>
          <w:b/>
          <w:color w:val="000000"/>
          <w:kern w:val="0"/>
          <w:szCs w:val="24"/>
        </w:rPr>
        <w:t>21</w:t>
      </w:r>
      <w:r w:rsidRPr="001B555A">
        <w:rPr>
          <w:rFonts w:cs="Times New Roman"/>
          <w:b/>
          <w:color w:val="000000"/>
          <w:kern w:val="0"/>
          <w:szCs w:val="24"/>
        </w:rPr>
        <w:t>号</w:t>
      </w:r>
    </w:p>
    <w:p w:rsidR="001B555A" w:rsidRDefault="001B555A" w:rsidP="00E805BC">
      <w:pPr>
        <w:ind w:firstLine="480"/>
      </w:pPr>
      <w:r w:rsidRPr="001B555A">
        <w:rPr>
          <w:rFonts w:hint="eastAsia"/>
        </w:rPr>
        <w:t>第十七条</w:t>
      </w:r>
      <w:r>
        <w:rPr>
          <w:rFonts w:hint="eastAsia"/>
        </w:rPr>
        <w:t>：</w:t>
      </w:r>
      <w:r w:rsidRPr="001B555A">
        <w:rPr>
          <w:rFonts w:hint="eastAsia"/>
        </w:rPr>
        <w:t>当事人向人民法院提供外文书证或者外国语视听资料的</w:t>
      </w:r>
      <w:r w:rsidR="000C66BB">
        <w:rPr>
          <w:rFonts w:hint="eastAsia"/>
        </w:rPr>
        <w:t>，</w:t>
      </w:r>
      <w:r w:rsidRPr="001B555A">
        <w:rPr>
          <w:rFonts w:hint="eastAsia"/>
        </w:rPr>
        <w:t>应当附有由具有翻译资质的机构翻译的或者其他翻译准确的中文译本</w:t>
      </w:r>
      <w:r w:rsidR="000C66BB">
        <w:rPr>
          <w:rFonts w:hint="eastAsia"/>
        </w:rPr>
        <w:t>，</w:t>
      </w:r>
      <w:r w:rsidRPr="001B555A">
        <w:rPr>
          <w:rFonts w:hint="eastAsia"/>
        </w:rPr>
        <w:t>由翻译机构盖章或者翻译人员签名。</w:t>
      </w:r>
    </w:p>
    <w:p w:rsidR="001B555A" w:rsidRDefault="001B555A" w:rsidP="001B555A">
      <w:pPr>
        <w:ind w:firstLine="480"/>
        <w:rPr>
          <w:rFonts w:cs="Times New Roman"/>
          <w:color w:val="000000"/>
          <w:kern w:val="0"/>
          <w:szCs w:val="24"/>
        </w:rPr>
      </w:pPr>
    </w:p>
    <w:p w:rsidR="001B555A" w:rsidRDefault="001B555A" w:rsidP="001B555A">
      <w:pPr>
        <w:ind w:firstLine="482"/>
        <w:rPr>
          <w:rFonts w:cs="Times New Roman"/>
          <w:b/>
          <w:color w:val="000000"/>
          <w:kern w:val="0"/>
          <w:szCs w:val="24"/>
        </w:rPr>
      </w:pPr>
      <w:r w:rsidRPr="00BC1345">
        <w:rPr>
          <w:rFonts w:cs="Times New Roman" w:hint="eastAsia"/>
          <w:b/>
          <w:color w:val="000000"/>
          <w:kern w:val="0"/>
          <w:szCs w:val="24"/>
        </w:rPr>
        <w:t>附件</w:t>
      </w:r>
      <w:r>
        <w:rPr>
          <w:rFonts w:cs="Times New Roman"/>
          <w:b/>
          <w:color w:val="000000"/>
          <w:kern w:val="0"/>
          <w:szCs w:val="24"/>
        </w:rPr>
        <w:t>6</w:t>
      </w:r>
      <w:r w:rsidRPr="00BC1345">
        <w:rPr>
          <w:rFonts w:cs="Times New Roman"/>
          <w:b/>
          <w:color w:val="000000"/>
          <w:kern w:val="0"/>
          <w:szCs w:val="24"/>
        </w:rPr>
        <w:t>：</w:t>
      </w:r>
      <w:r>
        <w:rPr>
          <w:rFonts w:cs="Times New Roman" w:hint="eastAsia"/>
          <w:b/>
          <w:color w:val="000000"/>
          <w:kern w:val="0"/>
          <w:szCs w:val="24"/>
        </w:rPr>
        <w:t>《关于非居民企业间接转让财产企业所得税若干问题的公告》</w:t>
      </w:r>
      <w:r w:rsidRPr="001B555A">
        <w:rPr>
          <w:rFonts w:cs="Times New Roman" w:hint="eastAsia"/>
          <w:b/>
          <w:color w:val="000000"/>
          <w:kern w:val="0"/>
          <w:szCs w:val="24"/>
        </w:rPr>
        <w:t>国税函</w:t>
      </w:r>
      <w:r w:rsidRPr="001B555A">
        <w:rPr>
          <w:rFonts w:cs="Times New Roman"/>
          <w:b/>
          <w:color w:val="000000"/>
          <w:kern w:val="0"/>
          <w:szCs w:val="24"/>
        </w:rPr>
        <w:t>[2015]7</w:t>
      </w:r>
      <w:r>
        <w:rPr>
          <w:rFonts w:cs="Times New Roman"/>
          <w:b/>
          <w:color w:val="000000"/>
          <w:kern w:val="0"/>
          <w:szCs w:val="24"/>
        </w:rPr>
        <w:t>号</w:t>
      </w:r>
    </w:p>
    <w:p w:rsidR="001B555A" w:rsidRPr="001B555A" w:rsidRDefault="001B555A" w:rsidP="00E805BC">
      <w:pPr>
        <w:ind w:firstLine="480"/>
      </w:pPr>
      <w:r>
        <w:rPr>
          <w:rFonts w:hint="eastAsia"/>
        </w:rPr>
        <w:t>第五条：</w:t>
      </w:r>
      <w:r w:rsidRPr="001B555A">
        <w:rPr>
          <w:rFonts w:hint="eastAsia"/>
        </w:rPr>
        <w:t>与间接转让中国应税财产相关的整体安排符合以下情形之一的</w:t>
      </w:r>
      <w:r w:rsidR="000C66BB">
        <w:rPr>
          <w:rFonts w:hint="eastAsia"/>
        </w:rPr>
        <w:t>，</w:t>
      </w:r>
      <w:r w:rsidRPr="001B555A">
        <w:rPr>
          <w:rFonts w:hint="eastAsia"/>
        </w:rPr>
        <w:t>不适用本公告第一条的规定：</w:t>
      </w:r>
      <w:r w:rsidRPr="001B555A">
        <w:t xml:space="preserve"> </w:t>
      </w:r>
    </w:p>
    <w:p w:rsidR="001B555A" w:rsidRPr="001B555A" w:rsidRDefault="001B555A" w:rsidP="00E805BC">
      <w:pPr>
        <w:ind w:firstLine="480"/>
      </w:pPr>
      <w:r w:rsidRPr="001B555A">
        <w:rPr>
          <w:rFonts w:hint="eastAsia"/>
        </w:rPr>
        <w:t>（一）非居民企业在公开市场买入并卖出同一上市境外企业股权取得间接转让中国应税财产所得；</w:t>
      </w:r>
    </w:p>
    <w:p w:rsidR="001B555A" w:rsidRDefault="001B555A" w:rsidP="00E805BC">
      <w:pPr>
        <w:ind w:firstLine="480"/>
      </w:pPr>
      <w:r w:rsidRPr="001B555A">
        <w:rPr>
          <w:rFonts w:hint="eastAsia"/>
        </w:rPr>
        <w:t>（二）在非居民企业直接持有并转让中国应税财产的情况下</w:t>
      </w:r>
      <w:r w:rsidR="000C66BB">
        <w:rPr>
          <w:rFonts w:hint="eastAsia"/>
        </w:rPr>
        <w:t>，</w:t>
      </w:r>
      <w:r w:rsidRPr="001B555A">
        <w:rPr>
          <w:rFonts w:hint="eastAsia"/>
        </w:rPr>
        <w:t>按照可适用的</w:t>
      </w:r>
      <w:r w:rsidRPr="001B555A">
        <w:rPr>
          <w:rFonts w:hint="eastAsia"/>
        </w:rPr>
        <w:lastRenderedPageBreak/>
        <w:t>税收协定或安排的规定</w:t>
      </w:r>
      <w:r w:rsidR="000C66BB">
        <w:rPr>
          <w:rFonts w:hint="eastAsia"/>
        </w:rPr>
        <w:t>，</w:t>
      </w:r>
      <w:r w:rsidRPr="001B555A">
        <w:rPr>
          <w:rFonts w:hint="eastAsia"/>
        </w:rPr>
        <w:t>该项财产转让所得在中国可以免予缴纳企业所得税。</w:t>
      </w:r>
    </w:p>
    <w:p w:rsidR="001B555A" w:rsidRPr="001B555A" w:rsidRDefault="001B555A" w:rsidP="00E805BC">
      <w:pPr>
        <w:ind w:firstLine="480"/>
      </w:pPr>
      <w:r>
        <w:rPr>
          <w:rFonts w:hint="eastAsia"/>
        </w:rPr>
        <w:t>第六条：</w:t>
      </w:r>
      <w:r w:rsidRPr="001B555A">
        <w:rPr>
          <w:rFonts w:hint="eastAsia"/>
        </w:rPr>
        <w:t>间接转让中国应税财产同时符合以下条件的</w:t>
      </w:r>
      <w:r w:rsidR="000C66BB">
        <w:rPr>
          <w:rFonts w:hint="eastAsia"/>
        </w:rPr>
        <w:t>，</w:t>
      </w:r>
      <w:r w:rsidRPr="001B555A">
        <w:rPr>
          <w:rFonts w:hint="eastAsia"/>
        </w:rPr>
        <w:t>应认定为具有合理商业目的：</w:t>
      </w:r>
      <w:r w:rsidRPr="001B555A">
        <w:t xml:space="preserve"> </w:t>
      </w:r>
    </w:p>
    <w:p w:rsidR="001B555A" w:rsidRPr="001B555A" w:rsidRDefault="001B555A" w:rsidP="00E805BC">
      <w:pPr>
        <w:ind w:firstLine="480"/>
      </w:pPr>
      <w:r w:rsidRPr="001B555A">
        <w:rPr>
          <w:rFonts w:hint="eastAsia"/>
        </w:rPr>
        <w:t>（一）交易双方的股权关系具有下列情形之一：</w:t>
      </w:r>
    </w:p>
    <w:p w:rsidR="001B555A" w:rsidRPr="001B555A" w:rsidRDefault="001B555A" w:rsidP="00E805BC">
      <w:pPr>
        <w:ind w:firstLine="480"/>
      </w:pPr>
      <w:r w:rsidRPr="001B555A">
        <w:t xml:space="preserve">1. </w:t>
      </w:r>
      <w:r w:rsidRPr="001B555A">
        <w:t>股权转让方直接或间接拥有股权受让方</w:t>
      </w:r>
      <w:r w:rsidRPr="001B555A">
        <w:t>80%</w:t>
      </w:r>
      <w:r w:rsidRPr="001B555A">
        <w:t>以上的股权；</w:t>
      </w:r>
      <w:r w:rsidRPr="001B555A">
        <w:t xml:space="preserve"> </w:t>
      </w:r>
    </w:p>
    <w:p w:rsidR="001B555A" w:rsidRPr="001B555A" w:rsidRDefault="001B555A" w:rsidP="00E805BC">
      <w:pPr>
        <w:ind w:firstLine="480"/>
      </w:pPr>
      <w:r w:rsidRPr="001B555A">
        <w:t xml:space="preserve">2. </w:t>
      </w:r>
      <w:r w:rsidRPr="001B555A">
        <w:t>股权受让方直接或间接拥有股权转让方</w:t>
      </w:r>
      <w:r w:rsidRPr="001B555A">
        <w:t>80%</w:t>
      </w:r>
      <w:r w:rsidRPr="001B555A">
        <w:t>以上的股权；</w:t>
      </w:r>
    </w:p>
    <w:p w:rsidR="001B555A" w:rsidRPr="001B555A" w:rsidRDefault="001B555A" w:rsidP="00E805BC">
      <w:pPr>
        <w:ind w:firstLine="480"/>
      </w:pPr>
      <w:r w:rsidRPr="001B555A">
        <w:t xml:space="preserve">3. </w:t>
      </w:r>
      <w:r w:rsidRPr="001B555A">
        <w:t>股权转让方和股权受让方被同一方直接或间接拥有</w:t>
      </w:r>
      <w:r w:rsidRPr="001B555A">
        <w:t>80%</w:t>
      </w:r>
      <w:r w:rsidRPr="001B555A">
        <w:t>以上的股权。</w:t>
      </w:r>
    </w:p>
    <w:p w:rsidR="001B555A" w:rsidRPr="001B555A" w:rsidRDefault="001B555A" w:rsidP="00E805BC">
      <w:pPr>
        <w:ind w:firstLine="480"/>
      </w:pPr>
      <w:r w:rsidRPr="001B555A">
        <w:rPr>
          <w:rFonts w:hint="eastAsia"/>
        </w:rPr>
        <w:t>境外企业股权</w:t>
      </w:r>
      <w:r w:rsidRPr="001B555A">
        <w:t>50%</w:t>
      </w:r>
      <w:r w:rsidRPr="001B555A">
        <w:t>以上（不含</w:t>
      </w:r>
      <w:r w:rsidRPr="001B555A">
        <w:t>50%</w:t>
      </w:r>
      <w:r w:rsidRPr="001B555A">
        <w:t>）价值直接或间接来自于中国境内不动产的</w:t>
      </w:r>
      <w:r w:rsidR="000C66BB">
        <w:t>，</w:t>
      </w:r>
      <w:r w:rsidRPr="001B555A">
        <w:t>本条第（一）项第</w:t>
      </w:r>
      <w:r w:rsidRPr="001B555A">
        <w:t>1</w:t>
      </w:r>
      <w:r w:rsidRPr="001B555A">
        <w:t>、</w:t>
      </w:r>
      <w:r w:rsidRPr="001B555A">
        <w:t>2</w:t>
      </w:r>
      <w:r w:rsidRPr="001B555A">
        <w:t>、</w:t>
      </w:r>
      <w:r w:rsidRPr="001B555A">
        <w:t>3</w:t>
      </w:r>
      <w:r w:rsidRPr="001B555A">
        <w:t>目的持股比例应为</w:t>
      </w:r>
      <w:r w:rsidRPr="001B555A">
        <w:t>100%</w:t>
      </w:r>
      <w:r w:rsidRPr="001B555A">
        <w:t>。</w:t>
      </w:r>
    </w:p>
    <w:p w:rsidR="001B555A" w:rsidRPr="001B555A" w:rsidRDefault="001B555A" w:rsidP="00E805BC">
      <w:pPr>
        <w:ind w:firstLine="480"/>
      </w:pPr>
      <w:r w:rsidRPr="001B555A">
        <w:rPr>
          <w:rFonts w:hint="eastAsia"/>
        </w:rPr>
        <w:t>上述间接拥有的股权按照持股链中各企业的持股比例乘积计算。</w:t>
      </w:r>
    </w:p>
    <w:p w:rsidR="001B555A" w:rsidRPr="001B555A" w:rsidRDefault="001B555A" w:rsidP="00E805BC">
      <w:pPr>
        <w:ind w:firstLine="480"/>
      </w:pPr>
      <w:r w:rsidRPr="001B555A">
        <w:rPr>
          <w:rFonts w:hint="eastAsia"/>
        </w:rPr>
        <w:t>（二）本次间接转让交易后可能再次发生的间接转让交易相比在未发生本次间接转让交易情况下的相同或类似间接转让交易</w:t>
      </w:r>
      <w:r w:rsidR="000C66BB">
        <w:rPr>
          <w:rFonts w:hint="eastAsia"/>
        </w:rPr>
        <w:t>，</w:t>
      </w:r>
      <w:r w:rsidRPr="001B555A">
        <w:rPr>
          <w:rFonts w:hint="eastAsia"/>
        </w:rPr>
        <w:t>其中国所得税负担不会减少。</w:t>
      </w:r>
    </w:p>
    <w:p w:rsidR="00F94806" w:rsidRPr="00F94806" w:rsidRDefault="001B555A" w:rsidP="00E805BC">
      <w:pPr>
        <w:ind w:firstLine="480"/>
      </w:pPr>
      <w:r w:rsidRPr="001B555A">
        <w:rPr>
          <w:rFonts w:hint="eastAsia"/>
        </w:rPr>
        <w:t>（三）股权受让方全部以本企业或与其具有控股关系的企业的股权（不含上市企业股权）支付股权交易对价。</w:t>
      </w:r>
    </w:p>
    <w:sectPr w:rsidR="00F94806" w:rsidRPr="00F94806">
      <w:head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DB" w:rsidRDefault="005178DB" w:rsidP="009A70EA">
      <w:pPr>
        <w:ind w:firstLine="480"/>
      </w:pPr>
      <w:r>
        <w:separator/>
      </w:r>
    </w:p>
  </w:endnote>
  <w:endnote w:type="continuationSeparator" w:id="0">
    <w:p w:rsidR="005178DB" w:rsidRDefault="005178DB" w:rsidP="009A70EA">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F9" w:rsidRDefault="00470EF9">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37" w:rsidRPr="00602AEF" w:rsidRDefault="00850337" w:rsidP="00A0485E">
    <w:pPr>
      <w:pStyle w:val="a5"/>
      <w:pBdr>
        <w:top w:val="single" w:sz="4" w:space="1" w:color="auto"/>
      </w:pBdr>
      <w:ind w:firstLineChars="0" w:firstLine="0"/>
    </w:pPr>
    <w:r w:rsidRPr="006F0865">
      <w:rPr>
        <w:rFonts w:hint="eastAsia"/>
        <w:b/>
      </w:rPr>
      <w:t>经济学院</w:t>
    </w:r>
    <w:r>
      <w:rPr>
        <w:rFonts w:hint="eastAsia"/>
        <w:b/>
      </w:rPr>
      <w:t>学术</w:t>
    </w:r>
    <w:r w:rsidRPr="006F0865">
      <w:rPr>
        <w:rFonts w:hint="eastAsia"/>
        <w:b/>
      </w:rPr>
      <w:t>学位</w:t>
    </w:r>
    <w:r>
      <w:rPr>
        <w:rFonts w:hint="eastAsia"/>
        <w:b/>
      </w:rPr>
      <w:t>研究生教务</w:t>
    </w:r>
    <w:r w:rsidRPr="006F0865">
      <w:rPr>
        <w:rFonts w:hint="eastAsia"/>
        <w:b/>
      </w:rPr>
      <w:t>办公室</w:t>
    </w:r>
    <w:r w:rsidRPr="006F0865">
      <w:rPr>
        <w:rFonts w:hint="eastAsia"/>
        <w:b/>
      </w:rPr>
      <w:t xml:space="preserve"> </w:t>
    </w:r>
    <w:r>
      <w:rPr>
        <w:rFonts w:hint="eastAsia"/>
      </w:rPr>
      <w:t xml:space="preserve"> </w:t>
    </w:r>
    <w:r>
      <w:rPr>
        <w:rFonts w:hint="eastAsia"/>
      </w:rPr>
      <w:t>国权路</w:t>
    </w:r>
    <w:r>
      <w:rPr>
        <w:rFonts w:hint="eastAsia"/>
      </w:rPr>
      <w:t>600</w:t>
    </w:r>
    <w:r>
      <w:rPr>
        <w:rFonts w:hint="eastAsia"/>
      </w:rPr>
      <w:t>号</w:t>
    </w:r>
    <w:r>
      <w:rPr>
        <w:rFonts w:hint="eastAsia"/>
      </w:rPr>
      <w:t>315</w:t>
    </w:r>
    <w:r>
      <w:rPr>
        <w:rFonts w:hint="eastAsia"/>
      </w:rPr>
      <w:t>室</w:t>
    </w:r>
    <w:r>
      <w:rPr>
        <w:rFonts w:hint="eastAsia"/>
      </w:rPr>
      <w:t xml:space="preserve">  </w:t>
    </w:r>
    <w:r>
      <w:rPr>
        <w:rFonts w:hint="eastAsia"/>
      </w:rPr>
      <w:t>邮编：</w:t>
    </w:r>
    <w:r>
      <w:rPr>
        <w:rFonts w:hint="eastAsia"/>
      </w:rPr>
      <w:t xml:space="preserve">200433  </w:t>
    </w:r>
    <w:r>
      <w:rPr>
        <w:rFonts w:hint="eastAsia"/>
      </w:rPr>
      <w:t>联系电话：</w:t>
    </w:r>
    <w:r>
      <w:rPr>
        <w:rFonts w:hint="eastAsia"/>
      </w:rPr>
      <w:t>021-65642331</w:t>
    </w:r>
  </w:p>
  <w:p w:rsidR="00AE3608" w:rsidRPr="00850337" w:rsidRDefault="00850337" w:rsidP="00A0485E">
    <w:pPr>
      <w:pStyle w:val="a5"/>
      <w:pBdr>
        <w:top w:val="single" w:sz="4" w:space="1" w:color="auto"/>
      </w:pBdr>
      <w:ind w:firstLineChars="0" w:firstLine="0"/>
    </w:pPr>
    <w:r w:rsidRPr="006F0865">
      <w:rPr>
        <w:rFonts w:hint="eastAsia"/>
        <w:b/>
      </w:rPr>
      <w:t>经济学院专业学位</w:t>
    </w:r>
    <w:r>
      <w:rPr>
        <w:rFonts w:hint="eastAsia"/>
        <w:b/>
      </w:rPr>
      <w:t>研究生教务</w:t>
    </w:r>
    <w:r w:rsidRPr="006F0865">
      <w:rPr>
        <w:rFonts w:hint="eastAsia"/>
        <w:b/>
      </w:rPr>
      <w:t>办公室</w:t>
    </w:r>
    <w:r w:rsidRPr="006F0865">
      <w:rPr>
        <w:rFonts w:hint="eastAsia"/>
        <w:b/>
      </w:rPr>
      <w:t xml:space="preserve"> </w:t>
    </w:r>
    <w:r>
      <w:rPr>
        <w:rFonts w:hint="eastAsia"/>
      </w:rPr>
      <w:t xml:space="preserve"> </w:t>
    </w:r>
    <w:r>
      <w:rPr>
        <w:rFonts w:hint="eastAsia"/>
      </w:rPr>
      <w:t>国权路</w:t>
    </w:r>
    <w:r>
      <w:rPr>
        <w:rFonts w:hint="eastAsia"/>
      </w:rPr>
      <w:t>600</w:t>
    </w:r>
    <w:r>
      <w:rPr>
        <w:rFonts w:hint="eastAsia"/>
      </w:rPr>
      <w:t>号</w:t>
    </w:r>
    <w:r>
      <w:rPr>
        <w:rFonts w:hint="eastAsia"/>
      </w:rPr>
      <w:t>313</w:t>
    </w:r>
    <w:r>
      <w:rPr>
        <w:rFonts w:hint="eastAsia"/>
      </w:rPr>
      <w:t>室</w:t>
    </w:r>
    <w:r>
      <w:rPr>
        <w:rFonts w:hint="eastAsia"/>
      </w:rPr>
      <w:t xml:space="preserve">  </w:t>
    </w:r>
    <w:r>
      <w:rPr>
        <w:rFonts w:hint="eastAsia"/>
      </w:rPr>
      <w:t>邮编：</w:t>
    </w:r>
    <w:r>
      <w:rPr>
        <w:rFonts w:hint="eastAsia"/>
      </w:rPr>
      <w:t xml:space="preserve">200433  </w:t>
    </w:r>
    <w:r>
      <w:rPr>
        <w:rFonts w:hint="eastAsia"/>
      </w:rPr>
      <w:t>联系电话：</w:t>
    </w:r>
    <w:r>
      <w:rPr>
        <w:rFonts w:hint="eastAsia"/>
      </w:rPr>
      <w:t>021-65642870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F9" w:rsidRDefault="00470EF9">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457678"/>
      <w:docPartObj>
        <w:docPartGallery w:val="Page Numbers (Bottom of Page)"/>
        <w:docPartUnique/>
      </w:docPartObj>
    </w:sdtPr>
    <w:sdtEndPr/>
    <w:sdtContent>
      <w:p w:rsidR="00850337" w:rsidRPr="00850337" w:rsidRDefault="00850337" w:rsidP="00850337">
        <w:pPr>
          <w:pStyle w:val="a5"/>
          <w:ind w:firstLine="360"/>
          <w:jc w:val="center"/>
        </w:pPr>
        <w:r>
          <w:fldChar w:fldCharType="begin"/>
        </w:r>
        <w:r>
          <w:instrText>PAGE   \* MERGEFORMAT</w:instrText>
        </w:r>
        <w:r>
          <w:fldChar w:fldCharType="separate"/>
        </w:r>
        <w:r w:rsidR="0093700F" w:rsidRPr="0093700F">
          <w:rPr>
            <w:noProof/>
            <w:lang w:val="zh-CN"/>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DB" w:rsidRDefault="005178DB" w:rsidP="009A70EA">
      <w:pPr>
        <w:ind w:firstLine="480"/>
      </w:pPr>
      <w:r>
        <w:separator/>
      </w:r>
    </w:p>
  </w:footnote>
  <w:footnote w:type="continuationSeparator" w:id="0">
    <w:p w:rsidR="005178DB" w:rsidRDefault="005178DB" w:rsidP="009A70EA">
      <w:pPr>
        <w:ind w:firstLine="480"/>
      </w:pPr>
      <w:r>
        <w:continuationSeparator/>
      </w:r>
    </w:p>
  </w:footnote>
  <w:footnote w:id="1">
    <w:p w:rsidR="00AE3608" w:rsidRPr="00C05363" w:rsidRDefault="00AE3608">
      <w:pPr>
        <w:pStyle w:val="a7"/>
        <w:ind w:firstLine="360"/>
      </w:pPr>
      <w:r>
        <w:rPr>
          <w:rStyle w:val="a8"/>
        </w:rPr>
        <w:footnoteRef/>
      </w:r>
      <w:r>
        <w:t xml:space="preserve"> </w:t>
      </w:r>
      <w:r w:rsidRPr="00830143">
        <w:rPr>
          <w:rFonts w:asciiTheme="minorEastAsia" w:hAnsiTheme="minorEastAsia" w:hint="eastAsia"/>
          <w:bCs/>
          <w:szCs w:val="21"/>
        </w:rPr>
        <w:t>新创建集团有限公司（简称：新创建集团</w:t>
      </w:r>
      <w:r>
        <w:rPr>
          <w:rFonts w:asciiTheme="minorEastAsia" w:hAnsiTheme="minorEastAsia" w:hint="eastAsia"/>
          <w:bCs/>
          <w:szCs w:val="21"/>
        </w:rPr>
        <w:t>，</w:t>
      </w:r>
      <w:r w:rsidRPr="00830143">
        <w:rPr>
          <w:rFonts w:asciiTheme="minorEastAsia" w:hAnsiTheme="minorEastAsia" w:hint="eastAsia"/>
          <w:bCs/>
          <w:szCs w:val="21"/>
        </w:rPr>
        <w:t>香港股份代号：</w:t>
      </w:r>
      <w:r w:rsidRPr="00830143">
        <w:rPr>
          <w:rFonts w:asciiTheme="minorEastAsia" w:hAnsiTheme="minorEastAsia"/>
          <w:bCs/>
          <w:szCs w:val="21"/>
        </w:rPr>
        <w:t>00659.HK</w:t>
      </w:r>
      <w:r w:rsidRPr="00830143">
        <w:rPr>
          <w:rFonts w:asciiTheme="minorEastAsia" w:hAnsiTheme="minorEastAsia"/>
          <w:bCs/>
          <w:szCs w:val="21"/>
        </w:rPr>
        <w:t>）乃新世界发展有限公司（香港股份代号：</w:t>
      </w:r>
      <w:r w:rsidRPr="00830143">
        <w:rPr>
          <w:rFonts w:asciiTheme="minorEastAsia" w:hAnsiTheme="minorEastAsia"/>
          <w:bCs/>
          <w:szCs w:val="21"/>
        </w:rPr>
        <w:t>00017.HK</w:t>
      </w:r>
      <w:r w:rsidRPr="00830143">
        <w:rPr>
          <w:rFonts w:asciiTheme="minorEastAsia" w:hAnsiTheme="minorEastAsia"/>
          <w:bCs/>
          <w:szCs w:val="21"/>
        </w:rPr>
        <w:t>）之基建及服务旗舰</w:t>
      </w:r>
    </w:p>
  </w:footnote>
  <w:footnote w:id="2">
    <w:p w:rsidR="00AE3608" w:rsidRPr="00C05363" w:rsidRDefault="00AE3608">
      <w:pPr>
        <w:pStyle w:val="a7"/>
        <w:ind w:firstLine="360"/>
      </w:pPr>
      <w:r>
        <w:rPr>
          <w:rStyle w:val="a8"/>
        </w:rPr>
        <w:footnoteRef/>
      </w:r>
      <w:r>
        <w:t xml:space="preserve"> </w:t>
      </w:r>
      <w:r w:rsidRPr="00C05363">
        <w:rPr>
          <w:rFonts w:hint="eastAsia"/>
        </w:rPr>
        <w:t>附件</w:t>
      </w:r>
      <w:r w:rsidRPr="00C05363">
        <w:t>1</w:t>
      </w:r>
      <w:r w:rsidRPr="00C05363">
        <w:t>：新创建集团披露收购一间从事营运杭州绕城公路之公司额外权益</w:t>
      </w:r>
    </w:p>
  </w:footnote>
  <w:footnote w:id="3">
    <w:p w:rsidR="00AE3608" w:rsidRPr="00AB5CA6" w:rsidRDefault="00AE3608">
      <w:pPr>
        <w:pStyle w:val="a7"/>
        <w:ind w:firstLine="360"/>
      </w:pPr>
      <w:r>
        <w:rPr>
          <w:rStyle w:val="a8"/>
        </w:rPr>
        <w:footnoteRef/>
      </w:r>
      <w:r>
        <w:t xml:space="preserve"> </w:t>
      </w:r>
      <w:r>
        <w:rPr>
          <w:rFonts w:hint="eastAsia"/>
        </w:rPr>
        <w:t>附件</w:t>
      </w:r>
      <w:r>
        <w:rPr>
          <w:rFonts w:hint="eastAsia"/>
        </w:rPr>
        <w:t>2</w:t>
      </w:r>
      <w:r>
        <w:rPr>
          <w:rFonts w:hint="eastAsia"/>
        </w:rPr>
        <w:t>、附件</w:t>
      </w:r>
      <w:r>
        <w:t>3</w:t>
      </w:r>
      <w:r>
        <w:rPr>
          <w:rFonts w:hint="eastAsia"/>
        </w:rPr>
        <w:t>、附件</w:t>
      </w:r>
      <w:r>
        <w:t>4</w:t>
      </w:r>
      <w:r>
        <w:rPr>
          <w:rFonts w:hint="eastAsia"/>
        </w:rPr>
        <w:t>法律法规规定</w:t>
      </w:r>
    </w:p>
  </w:footnote>
  <w:footnote w:id="4">
    <w:p w:rsidR="00AE3608" w:rsidRPr="00DF0E20" w:rsidRDefault="00AE3608">
      <w:pPr>
        <w:pStyle w:val="a7"/>
        <w:ind w:firstLine="360"/>
      </w:pPr>
      <w:r>
        <w:rPr>
          <w:rStyle w:val="a8"/>
        </w:rPr>
        <w:footnoteRef/>
      </w:r>
      <w:r>
        <w:t xml:space="preserve"> </w:t>
      </w:r>
      <w:r>
        <w:rPr>
          <w:rFonts w:hint="eastAsia"/>
        </w:rPr>
        <w:t>附件</w:t>
      </w:r>
      <w:r>
        <w:rPr>
          <w:rFonts w:hint="eastAsia"/>
        </w:rPr>
        <w:t>1</w:t>
      </w:r>
      <w:r>
        <w:rPr>
          <w:rFonts w:hint="eastAsia"/>
        </w:rPr>
        <w:t>：</w:t>
      </w:r>
      <w:r w:rsidRPr="00C05363">
        <w:t>新创建集团披露收购一间从事营运杭州绕城公路之公司额外权益</w:t>
      </w:r>
    </w:p>
  </w:footnote>
  <w:footnote w:id="5">
    <w:p w:rsidR="00AE3608" w:rsidRPr="00DF0E20" w:rsidRDefault="00AE3608">
      <w:pPr>
        <w:pStyle w:val="a7"/>
        <w:ind w:firstLine="360"/>
      </w:pPr>
      <w:r>
        <w:rPr>
          <w:rStyle w:val="a8"/>
        </w:rPr>
        <w:footnoteRef/>
      </w:r>
      <w:r>
        <w:t xml:space="preserve"> </w:t>
      </w:r>
      <w:r>
        <w:rPr>
          <w:rFonts w:hint="eastAsia"/>
        </w:rPr>
        <w:t>附件</w:t>
      </w:r>
      <w:r>
        <w:rPr>
          <w:rFonts w:hint="eastAsia"/>
        </w:rPr>
        <w:t>1</w:t>
      </w:r>
      <w:r>
        <w:rPr>
          <w:rFonts w:hint="eastAsia"/>
        </w:rPr>
        <w:t>：</w:t>
      </w:r>
      <w:r w:rsidRPr="00C05363">
        <w:t>新创建集团披露收购一间从事营运杭州绕城公路之公司额外权益</w:t>
      </w:r>
    </w:p>
  </w:footnote>
  <w:footnote w:id="6">
    <w:p w:rsidR="00AE3608" w:rsidRPr="000B526D" w:rsidRDefault="00AE3608">
      <w:pPr>
        <w:pStyle w:val="a7"/>
        <w:ind w:firstLine="360"/>
      </w:pPr>
      <w:r>
        <w:rPr>
          <w:rStyle w:val="a8"/>
        </w:rPr>
        <w:footnoteRef/>
      </w:r>
      <w:r>
        <w:t xml:space="preserve"> </w:t>
      </w:r>
      <w:r w:rsidRPr="000B526D">
        <w:rPr>
          <w:rFonts w:hint="eastAsia"/>
        </w:rPr>
        <w:t>附件</w:t>
      </w:r>
      <w:r w:rsidRPr="000B526D">
        <w:t>1</w:t>
      </w:r>
      <w:r w:rsidRPr="000B526D">
        <w:t>：新创建集团披露收购一间从事营运杭州绕城公路之公司额外权益</w:t>
      </w:r>
    </w:p>
  </w:footnote>
  <w:footnote w:id="7">
    <w:p w:rsidR="00AE3608" w:rsidRPr="00FF53D4" w:rsidRDefault="00AE3608">
      <w:pPr>
        <w:pStyle w:val="a7"/>
        <w:ind w:firstLine="360"/>
      </w:pPr>
      <w:r>
        <w:rPr>
          <w:rStyle w:val="a8"/>
        </w:rPr>
        <w:footnoteRef/>
      </w:r>
      <w:r>
        <w:t xml:space="preserve"> </w:t>
      </w:r>
      <w:r w:rsidRPr="00C05363">
        <w:rPr>
          <w:rFonts w:hint="eastAsia"/>
        </w:rPr>
        <w:t>附件</w:t>
      </w:r>
      <w:r w:rsidRPr="00C05363">
        <w:t>1</w:t>
      </w:r>
      <w:r w:rsidRPr="00C05363">
        <w:t>：新创建集团披露收购一间从事营运杭州绕城公路之公司额外权益</w:t>
      </w:r>
    </w:p>
  </w:footnote>
  <w:footnote w:id="8">
    <w:p w:rsidR="00AE3608" w:rsidRPr="002A7829" w:rsidRDefault="00AE3608">
      <w:pPr>
        <w:pStyle w:val="a7"/>
        <w:ind w:firstLine="360"/>
      </w:pPr>
      <w:r>
        <w:rPr>
          <w:rStyle w:val="a8"/>
        </w:rPr>
        <w:footnoteRef/>
      </w:r>
      <w:r>
        <w:t xml:space="preserve"> </w:t>
      </w:r>
      <w:r w:rsidRPr="000B526D">
        <w:rPr>
          <w:rFonts w:hint="eastAsia"/>
        </w:rPr>
        <w:t>附件</w:t>
      </w:r>
      <w:r w:rsidRPr="000B526D">
        <w:t>1</w:t>
      </w:r>
      <w:r w:rsidRPr="000B526D">
        <w:t>：新创建集团披露收购一间从事营运杭州绕城公路之公司额外权益</w:t>
      </w:r>
    </w:p>
  </w:footnote>
  <w:footnote w:id="9">
    <w:p w:rsidR="00AE3608" w:rsidRDefault="00AE3608">
      <w:pPr>
        <w:pStyle w:val="a7"/>
        <w:ind w:firstLine="360"/>
      </w:pPr>
      <w:r>
        <w:rPr>
          <w:rStyle w:val="a8"/>
        </w:rPr>
        <w:footnoteRef/>
      </w:r>
      <w:r>
        <w:t xml:space="preserve"> </w:t>
      </w:r>
      <w:r>
        <w:rPr>
          <w:rFonts w:asciiTheme="minorEastAsia" w:hAnsiTheme="minorEastAsia" w:hint="eastAsia"/>
          <w:bCs/>
          <w:kern w:val="0"/>
          <w:szCs w:val="21"/>
        </w:rPr>
        <w:t>《关于非居民企业间接转让财产企业所得税若干问题的公告》（国税函</w:t>
      </w:r>
      <w:r>
        <w:rPr>
          <w:rFonts w:asciiTheme="minorEastAsia" w:hAnsiTheme="minorEastAsia" w:hint="eastAsia"/>
          <w:bCs/>
          <w:kern w:val="0"/>
          <w:szCs w:val="21"/>
        </w:rPr>
        <w:t>[2015]7</w:t>
      </w:r>
      <w:r>
        <w:rPr>
          <w:rFonts w:asciiTheme="minorEastAsia" w:hAnsiTheme="minorEastAsia" w:hint="eastAsia"/>
          <w:bCs/>
          <w:kern w:val="0"/>
          <w:szCs w:val="21"/>
        </w:rPr>
        <w:t>号）第五条、第六条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F9" w:rsidRDefault="00470EF9">
    <w:pPr>
      <w:pStyle w:val="a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Pr="00FD5F3D"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t xml:space="preserve">6 </w:t>
    </w:r>
    <w:r>
      <w:rPr>
        <w:rFonts w:hint="eastAsia"/>
      </w:rPr>
      <w:t>前路与希望</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Pr="00FD5F3D"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rPr>
        <w:rFonts w:hint="eastAsia"/>
      </w:rPr>
      <w:t>案例参考文献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Pr="00FD5F3D"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rPr>
        <w:rFonts w:hint="eastAsia"/>
      </w:rPr>
      <w:t>案例附注</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Pr="00FD5F3D"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rPr>
        <w:rFonts w:hint="eastAsia"/>
      </w:rPr>
      <w:t>案例附件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Default="00850337" w:rsidP="00470EF9">
    <w:pPr>
      <w:pStyle w:val="a4"/>
      <w:spacing w:line="240" w:lineRule="auto"/>
      <w:ind w:firstLine="360"/>
      <w:jc w:val="both"/>
    </w:pPr>
    <w:r>
      <w:rPr>
        <w:rFonts w:hint="eastAsia"/>
        <w:noProof/>
      </w:rPr>
      <w:drawing>
        <wp:inline distT="0" distB="0" distL="0" distR="0" wp14:anchorId="4A711931" wp14:editId="6FE04CDB">
          <wp:extent cx="609600" cy="419100"/>
          <wp:effectExtent l="0" t="0" r="0" b="0"/>
          <wp:docPr id="5" name="图片 5" descr="校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AE3608">
      <w:ptab w:relativeTo="margin" w:alignment="center" w:leader="none"/>
    </w:r>
    <w:r w:rsidR="00AE3608">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F9" w:rsidRDefault="00470EF9">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37" w:rsidRDefault="00850337"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t xml:space="preserve">1 </w:t>
    </w:r>
    <w:r>
      <w:rPr>
        <w:rFonts w:hint="eastAsia"/>
      </w:rPr>
      <w:t>引言</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Pr="00BD06F4"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t xml:space="preserve">2 </w:t>
    </w:r>
    <w:r>
      <w:rPr>
        <w:rFonts w:hint="eastAsia"/>
      </w:rPr>
      <w:t>事件过程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Pr="00FD5F3D"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t xml:space="preserve">3 </w:t>
    </w:r>
    <w:r>
      <w:rPr>
        <w:rFonts w:hint="eastAsia"/>
      </w:rPr>
      <w:t>儿童投资主基</w:t>
    </w:r>
    <w:proofErr w:type="gramStart"/>
    <w:r>
      <w:rPr>
        <w:rFonts w:hint="eastAsia"/>
      </w:rPr>
      <w:t>金案件</w:t>
    </w:r>
    <w:proofErr w:type="gramEnd"/>
    <w:r>
      <w:rPr>
        <w:rFonts w:hint="eastAsia"/>
      </w:rPr>
      <w:t>详情</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Pr="00FD5F3D"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t>4</w:t>
    </w:r>
    <w:r>
      <w:rPr>
        <w:rFonts w:hint="eastAsia"/>
      </w:rPr>
      <w:t xml:space="preserve"> </w:t>
    </w:r>
    <w:r>
      <w:rPr>
        <w:rFonts w:hint="eastAsia"/>
      </w:rPr>
      <w:t>儿童投资主基</w:t>
    </w:r>
    <w:proofErr w:type="gramStart"/>
    <w:r>
      <w:rPr>
        <w:rFonts w:hint="eastAsia"/>
      </w:rPr>
      <w:t>金案件</w:t>
    </w:r>
    <w:proofErr w:type="gramEnd"/>
    <w:r>
      <w:rPr>
        <w:rFonts w:hint="eastAsia"/>
      </w:rPr>
      <w:t>分析</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08" w:rsidRPr="00FD5F3D" w:rsidRDefault="00AE3608" w:rsidP="00FD5F3D">
    <w:pPr>
      <w:pStyle w:val="a4"/>
      <w:ind w:firstLine="360"/>
      <w:jc w:val="left"/>
    </w:pPr>
    <w:proofErr w:type="gramStart"/>
    <w:r w:rsidRPr="00FD5F3D">
      <w:rPr>
        <w:rFonts w:hint="eastAsia"/>
      </w:rPr>
      <w:t>议儿童</w:t>
    </w:r>
    <w:proofErr w:type="gramEnd"/>
    <w:r w:rsidRPr="00FD5F3D">
      <w:rPr>
        <w:rFonts w:hint="eastAsia"/>
      </w:rPr>
      <w:t>投资主基金间接转让股权税务</w:t>
    </w:r>
    <w:proofErr w:type="gramStart"/>
    <w:r w:rsidRPr="00FD5F3D">
      <w:rPr>
        <w:rFonts w:hint="eastAsia"/>
      </w:rPr>
      <w:t>征收案</w:t>
    </w:r>
    <w:proofErr w:type="gramEnd"/>
    <w:r>
      <w:ptab w:relativeTo="margin" w:alignment="center" w:leader="none"/>
    </w:r>
    <w:r>
      <w:ptab w:relativeTo="margin" w:alignment="right" w:leader="none"/>
    </w:r>
    <w:r>
      <w:t xml:space="preserve">5 </w:t>
    </w:r>
    <w:r>
      <w:rPr>
        <w:rFonts w:hint="eastAsia"/>
      </w:rPr>
      <w:t>儿童投资主基</w:t>
    </w:r>
    <w:proofErr w:type="gramStart"/>
    <w:r>
      <w:rPr>
        <w:rFonts w:hint="eastAsia"/>
      </w:rPr>
      <w:t>金案件</w:t>
    </w:r>
    <w:proofErr w:type="gramEnd"/>
    <w:r>
      <w:rPr>
        <w:rFonts w:hint="eastAsia"/>
      </w:rPr>
      <w:t>的价值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B3A"/>
    <w:multiLevelType w:val="hybridMultilevel"/>
    <w:tmpl w:val="5350A70E"/>
    <w:lvl w:ilvl="0" w:tplc="DF66ECC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88D3444"/>
    <w:multiLevelType w:val="hybridMultilevel"/>
    <w:tmpl w:val="948C41D6"/>
    <w:lvl w:ilvl="0" w:tplc="E2C67E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722A0D"/>
    <w:multiLevelType w:val="hybridMultilevel"/>
    <w:tmpl w:val="D966ABDE"/>
    <w:lvl w:ilvl="0" w:tplc="0B66C2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15334E1"/>
    <w:multiLevelType w:val="hybridMultilevel"/>
    <w:tmpl w:val="229AE62E"/>
    <w:lvl w:ilvl="0" w:tplc="8584C2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E2B43F8"/>
    <w:multiLevelType w:val="hybridMultilevel"/>
    <w:tmpl w:val="1098D81E"/>
    <w:lvl w:ilvl="0" w:tplc="42367DC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04"/>
    <w:rsid w:val="00000B85"/>
    <w:rsid w:val="000203CA"/>
    <w:rsid w:val="000215AF"/>
    <w:rsid w:val="00023B2B"/>
    <w:rsid w:val="000263AC"/>
    <w:rsid w:val="00036B6D"/>
    <w:rsid w:val="00037D36"/>
    <w:rsid w:val="00042991"/>
    <w:rsid w:val="00052408"/>
    <w:rsid w:val="0005406B"/>
    <w:rsid w:val="00054CB8"/>
    <w:rsid w:val="00054E1D"/>
    <w:rsid w:val="000809AE"/>
    <w:rsid w:val="00097E64"/>
    <w:rsid w:val="000A4FD3"/>
    <w:rsid w:val="000B02C4"/>
    <w:rsid w:val="000B146C"/>
    <w:rsid w:val="000B526D"/>
    <w:rsid w:val="000C0CB2"/>
    <w:rsid w:val="000C66BB"/>
    <w:rsid w:val="000E3B8F"/>
    <w:rsid w:val="000E5622"/>
    <w:rsid w:val="000F3D2D"/>
    <w:rsid w:val="000F4377"/>
    <w:rsid w:val="000F437C"/>
    <w:rsid w:val="000F7156"/>
    <w:rsid w:val="00125D3D"/>
    <w:rsid w:val="00127D3E"/>
    <w:rsid w:val="00132095"/>
    <w:rsid w:val="001426A3"/>
    <w:rsid w:val="00144396"/>
    <w:rsid w:val="001633C3"/>
    <w:rsid w:val="00176905"/>
    <w:rsid w:val="00187157"/>
    <w:rsid w:val="00195D2C"/>
    <w:rsid w:val="001A4537"/>
    <w:rsid w:val="001B1EB0"/>
    <w:rsid w:val="001B555A"/>
    <w:rsid w:val="001C4DA9"/>
    <w:rsid w:val="001D2723"/>
    <w:rsid w:val="001E083C"/>
    <w:rsid w:val="001E6EE2"/>
    <w:rsid w:val="001E7BF2"/>
    <w:rsid w:val="001F0493"/>
    <w:rsid w:val="001F4C5E"/>
    <w:rsid w:val="001F7F89"/>
    <w:rsid w:val="00206255"/>
    <w:rsid w:val="00206B5B"/>
    <w:rsid w:val="00224051"/>
    <w:rsid w:val="00225594"/>
    <w:rsid w:val="002326C5"/>
    <w:rsid w:val="00236D5A"/>
    <w:rsid w:val="00244A6A"/>
    <w:rsid w:val="00280055"/>
    <w:rsid w:val="00283065"/>
    <w:rsid w:val="002968B3"/>
    <w:rsid w:val="002A2A1C"/>
    <w:rsid w:val="002A738C"/>
    <w:rsid w:val="002A7829"/>
    <w:rsid w:val="002B1AE7"/>
    <w:rsid w:val="002B1FFA"/>
    <w:rsid w:val="002D1529"/>
    <w:rsid w:val="002E066F"/>
    <w:rsid w:val="002E0FC0"/>
    <w:rsid w:val="002E43D9"/>
    <w:rsid w:val="002E466C"/>
    <w:rsid w:val="002E4DD5"/>
    <w:rsid w:val="002F0A10"/>
    <w:rsid w:val="002F3B3E"/>
    <w:rsid w:val="002F4990"/>
    <w:rsid w:val="00302678"/>
    <w:rsid w:val="00304D71"/>
    <w:rsid w:val="00312285"/>
    <w:rsid w:val="00316B0F"/>
    <w:rsid w:val="00321ECC"/>
    <w:rsid w:val="00323C85"/>
    <w:rsid w:val="003454FC"/>
    <w:rsid w:val="00345926"/>
    <w:rsid w:val="00362D9D"/>
    <w:rsid w:val="00362F03"/>
    <w:rsid w:val="00365720"/>
    <w:rsid w:val="0037495C"/>
    <w:rsid w:val="0039514F"/>
    <w:rsid w:val="003A055F"/>
    <w:rsid w:val="003A40C8"/>
    <w:rsid w:val="003A5160"/>
    <w:rsid w:val="003A779B"/>
    <w:rsid w:val="003B0DF0"/>
    <w:rsid w:val="003B517E"/>
    <w:rsid w:val="003C6D8F"/>
    <w:rsid w:val="003D6121"/>
    <w:rsid w:val="003E06E8"/>
    <w:rsid w:val="003E23CD"/>
    <w:rsid w:val="003E35C7"/>
    <w:rsid w:val="003F5CC6"/>
    <w:rsid w:val="003F5E8A"/>
    <w:rsid w:val="003F70BD"/>
    <w:rsid w:val="0040469E"/>
    <w:rsid w:val="00405006"/>
    <w:rsid w:val="00405E65"/>
    <w:rsid w:val="004062E9"/>
    <w:rsid w:val="00410981"/>
    <w:rsid w:val="00411396"/>
    <w:rsid w:val="0042104D"/>
    <w:rsid w:val="00421E26"/>
    <w:rsid w:val="004268F0"/>
    <w:rsid w:val="0043594B"/>
    <w:rsid w:val="00454C64"/>
    <w:rsid w:val="0047061C"/>
    <w:rsid w:val="00470EF9"/>
    <w:rsid w:val="0047330E"/>
    <w:rsid w:val="0047352B"/>
    <w:rsid w:val="0047711F"/>
    <w:rsid w:val="00484575"/>
    <w:rsid w:val="00486D4E"/>
    <w:rsid w:val="00493D06"/>
    <w:rsid w:val="00497A0A"/>
    <w:rsid w:val="004B2BF4"/>
    <w:rsid w:val="004B7307"/>
    <w:rsid w:val="004B7F52"/>
    <w:rsid w:val="004C4FA1"/>
    <w:rsid w:val="004C614D"/>
    <w:rsid w:val="004D0155"/>
    <w:rsid w:val="004D28A1"/>
    <w:rsid w:val="004D57CD"/>
    <w:rsid w:val="004D6A81"/>
    <w:rsid w:val="004E1962"/>
    <w:rsid w:val="004E3256"/>
    <w:rsid w:val="004F703C"/>
    <w:rsid w:val="0050223E"/>
    <w:rsid w:val="0050582D"/>
    <w:rsid w:val="00516779"/>
    <w:rsid w:val="005178DB"/>
    <w:rsid w:val="00520964"/>
    <w:rsid w:val="00520BFD"/>
    <w:rsid w:val="005227D1"/>
    <w:rsid w:val="00532E98"/>
    <w:rsid w:val="00537B8D"/>
    <w:rsid w:val="00551E57"/>
    <w:rsid w:val="00557301"/>
    <w:rsid w:val="005768D9"/>
    <w:rsid w:val="0058296D"/>
    <w:rsid w:val="005A008F"/>
    <w:rsid w:val="005A5AC6"/>
    <w:rsid w:val="005A617A"/>
    <w:rsid w:val="005A651C"/>
    <w:rsid w:val="005A6DC1"/>
    <w:rsid w:val="005B2DA5"/>
    <w:rsid w:val="005C0B4A"/>
    <w:rsid w:val="005C7AD7"/>
    <w:rsid w:val="005D0599"/>
    <w:rsid w:val="005D1DE8"/>
    <w:rsid w:val="005D51B2"/>
    <w:rsid w:val="005E0592"/>
    <w:rsid w:val="005E0CEE"/>
    <w:rsid w:val="005E2324"/>
    <w:rsid w:val="005E70C3"/>
    <w:rsid w:val="005E7F03"/>
    <w:rsid w:val="005F03B0"/>
    <w:rsid w:val="005F13FE"/>
    <w:rsid w:val="006070AD"/>
    <w:rsid w:val="00610337"/>
    <w:rsid w:val="0061521A"/>
    <w:rsid w:val="006165B7"/>
    <w:rsid w:val="0062754D"/>
    <w:rsid w:val="00630EF6"/>
    <w:rsid w:val="006357B3"/>
    <w:rsid w:val="0066280F"/>
    <w:rsid w:val="0066581F"/>
    <w:rsid w:val="00683B45"/>
    <w:rsid w:val="00686DA9"/>
    <w:rsid w:val="00694521"/>
    <w:rsid w:val="006B0E32"/>
    <w:rsid w:val="006B72A1"/>
    <w:rsid w:val="006C489B"/>
    <w:rsid w:val="006E2DC7"/>
    <w:rsid w:val="006F2B68"/>
    <w:rsid w:val="006F5E4F"/>
    <w:rsid w:val="006F65D8"/>
    <w:rsid w:val="0070423A"/>
    <w:rsid w:val="00705049"/>
    <w:rsid w:val="007205E0"/>
    <w:rsid w:val="00720855"/>
    <w:rsid w:val="007232A3"/>
    <w:rsid w:val="007332FA"/>
    <w:rsid w:val="00742754"/>
    <w:rsid w:val="007445A8"/>
    <w:rsid w:val="00766FCA"/>
    <w:rsid w:val="0077145D"/>
    <w:rsid w:val="00793C97"/>
    <w:rsid w:val="007B5851"/>
    <w:rsid w:val="007D0076"/>
    <w:rsid w:val="007D2C46"/>
    <w:rsid w:val="007D790E"/>
    <w:rsid w:val="007E3FE8"/>
    <w:rsid w:val="007E7B04"/>
    <w:rsid w:val="007F1F5B"/>
    <w:rsid w:val="0080594F"/>
    <w:rsid w:val="00807328"/>
    <w:rsid w:val="00814222"/>
    <w:rsid w:val="0082363B"/>
    <w:rsid w:val="00827767"/>
    <w:rsid w:val="00830143"/>
    <w:rsid w:val="0084160C"/>
    <w:rsid w:val="008469EA"/>
    <w:rsid w:val="008479BA"/>
    <w:rsid w:val="00850337"/>
    <w:rsid w:val="00856DFE"/>
    <w:rsid w:val="00862933"/>
    <w:rsid w:val="008800EB"/>
    <w:rsid w:val="008917B9"/>
    <w:rsid w:val="008958AD"/>
    <w:rsid w:val="00896592"/>
    <w:rsid w:val="008A047D"/>
    <w:rsid w:val="008A22A9"/>
    <w:rsid w:val="008B67DF"/>
    <w:rsid w:val="008C6322"/>
    <w:rsid w:val="008D1381"/>
    <w:rsid w:val="00903EC9"/>
    <w:rsid w:val="00917728"/>
    <w:rsid w:val="00925894"/>
    <w:rsid w:val="0093700F"/>
    <w:rsid w:val="0094032D"/>
    <w:rsid w:val="00950CA2"/>
    <w:rsid w:val="00954444"/>
    <w:rsid w:val="009545AE"/>
    <w:rsid w:val="00965646"/>
    <w:rsid w:val="0098632F"/>
    <w:rsid w:val="00992150"/>
    <w:rsid w:val="009946BD"/>
    <w:rsid w:val="00997667"/>
    <w:rsid w:val="009A00A7"/>
    <w:rsid w:val="009A70EA"/>
    <w:rsid w:val="009A79A3"/>
    <w:rsid w:val="009B21D7"/>
    <w:rsid w:val="009C6468"/>
    <w:rsid w:val="009D1396"/>
    <w:rsid w:val="009D332A"/>
    <w:rsid w:val="009D554F"/>
    <w:rsid w:val="009D556F"/>
    <w:rsid w:val="009E34EF"/>
    <w:rsid w:val="009E4A19"/>
    <w:rsid w:val="009F28E2"/>
    <w:rsid w:val="009F6643"/>
    <w:rsid w:val="009F6648"/>
    <w:rsid w:val="009F7C60"/>
    <w:rsid w:val="00A028B0"/>
    <w:rsid w:val="00A0485E"/>
    <w:rsid w:val="00A167F5"/>
    <w:rsid w:val="00A25E4A"/>
    <w:rsid w:val="00A33B51"/>
    <w:rsid w:val="00A375E7"/>
    <w:rsid w:val="00A60C55"/>
    <w:rsid w:val="00A63A30"/>
    <w:rsid w:val="00A66B5B"/>
    <w:rsid w:val="00A75AD0"/>
    <w:rsid w:val="00A76198"/>
    <w:rsid w:val="00A80D3A"/>
    <w:rsid w:val="00AA0174"/>
    <w:rsid w:val="00AA4B1E"/>
    <w:rsid w:val="00AB3250"/>
    <w:rsid w:val="00AB5CA6"/>
    <w:rsid w:val="00AC2912"/>
    <w:rsid w:val="00AE1DBE"/>
    <w:rsid w:val="00AE3608"/>
    <w:rsid w:val="00AE5ECC"/>
    <w:rsid w:val="00AE662D"/>
    <w:rsid w:val="00AF57FC"/>
    <w:rsid w:val="00B067C0"/>
    <w:rsid w:val="00B11DBE"/>
    <w:rsid w:val="00B326E0"/>
    <w:rsid w:val="00B337EC"/>
    <w:rsid w:val="00B432ED"/>
    <w:rsid w:val="00B43913"/>
    <w:rsid w:val="00B47674"/>
    <w:rsid w:val="00B5585A"/>
    <w:rsid w:val="00B57992"/>
    <w:rsid w:val="00B869DE"/>
    <w:rsid w:val="00B93353"/>
    <w:rsid w:val="00BA6481"/>
    <w:rsid w:val="00BB03C6"/>
    <w:rsid w:val="00BB2227"/>
    <w:rsid w:val="00BB498B"/>
    <w:rsid w:val="00BB7A6D"/>
    <w:rsid w:val="00BC1345"/>
    <w:rsid w:val="00BC3FFC"/>
    <w:rsid w:val="00BD06F4"/>
    <w:rsid w:val="00BD0D41"/>
    <w:rsid w:val="00BD32C3"/>
    <w:rsid w:val="00BE4820"/>
    <w:rsid w:val="00BF3163"/>
    <w:rsid w:val="00BF7CFB"/>
    <w:rsid w:val="00C01D9E"/>
    <w:rsid w:val="00C05363"/>
    <w:rsid w:val="00C16849"/>
    <w:rsid w:val="00C20D00"/>
    <w:rsid w:val="00C2392E"/>
    <w:rsid w:val="00C253EA"/>
    <w:rsid w:val="00C32251"/>
    <w:rsid w:val="00C51A70"/>
    <w:rsid w:val="00C53CCE"/>
    <w:rsid w:val="00C57F45"/>
    <w:rsid w:val="00C604F7"/>
    <w:rsid w:val="00C63FA6"/>
    <w:rsid w:val="00C6476E"/>
    <w:rsid w:val="00C8453B"/>
    <w:rsid w:val="00C8500E"/>
    <w:rsid w:val="00C85C88"/>
    <w:rsid w:val="00CB6C43"/>
    <w:rsid w:val="00CC2DFC"/>
    <w:rsid w:val="00CC59A7"/>
    <w:rsid w:val="00CD332B"/>
    <w:rsid w:val="00CD7747"/>
    <w:rsid w:val="00CF0C4E"/>
    <w:rsid w:val="00CF2C1F"/>
    <w:rsid w:val="00D10E4B"/>
    <w:rsid w:val="00D11BB2"/>
    <w:rsid w:val="00D15C24"/>
    <w:rsid w:val="00D2774B"/>
    <w:rsid w:val="00D33003"/>
    <w:rsid w:val="00D3404C"/>
    <w:rsid w:val="00D535C7"/>
    <w:rsid w:val="00D57BC0"/>
    <w:rsid w:val="00D57F49"/>
    <w:rsid w:val="00D66590"/>
    <w:rsid w:val="00D71FC3"/>
    <w:rsid w:val="00D82512"/>
    <w:rsid w:val="00D84568"/>
    <w:rsid w:val="00DB513A"/>
    <w:rsid w:val="00DC288F"/>
    <w:rsid w:val="00DC7FC0"/>
    <w:rsid w:val="00DD1FEF"/>
    <w:rsid w:val="00DD75D3"/>
    <w:rsid w:val="00DE59C1"/>
    <w:rsid w:val="00DF03B5"/>
    <w:rsid w:val="00DF0E20"/>
    <w:rsid w:val="00DF46FC"/>
    <w:rsid w:val="00E025A5"/>
    <w:rsid w:val="00E158FB"/>
    <w:rsid w:val="00E17D38"/>
    <w:rsid w:val="00E35B2C"/>
    <w:rsid w:val="00E47BE3"/>
    <w:rsid w:val="00E5198E"/>
    <w:rsid w:val="00E51DD2"/>
    <w:rsid w:val="00E604CE"/>
    <w:rsid w:val="00E7576C"/>
    <w:rsid w:val="00E805BC"/>
    <w:rsid w:val="00E81CE3"/>
    <w:rsid w:val="00EA2EC3"/>
    <w:rsid w:val="00EB3EE9"/>
    <w:rsid w:val="00EC0709"/>
    <w:rsid w:val="00EC2F14"/>
    <w:rsid w:val="00F00190"/>
    <w:rsid w:val="00F10AD6"/>
    <w:rsid w:val="00F10BAB"/>
    <w:rsid w:val="00F130FF"/>
    <w:rsid w:val="00F13C81"/>
    <w:rsid w:val="00F13F1A"/>
    <w:rsid w:val="00F1524B"/>
    <w:rsid w:val="00F21B46"/>
    <w:rsid w:val="00F21ED7"/>
    <w:rsid w:val="00F22380"/>
    <w:rsid w:val="00F225B1"/>
    <w:rsid w:val="00F261AE"/>
    <w:rsid w:val="00F328A4"/>
    <w:rsid w:val="00F50027"/>
    <w:rsid w:val="00F51174"/>
    <w:rsid w:val="00F622E7"/>
    <w:rsid w:val="00F8567A"/>
    <w:rsid w:val="00F94806"/>
    <w:rsid w:val="00F94EE9"/>
    <w:rsid w:val="00F9709A"/>
    <w:rsid w:val="00FA082B"/>
    <w:rsid w:val="00FA1095"/>
    <w:rsid w:val="00FA1C32"/>
    <w:rsid w:val="00FA24DF"/>
    <w:rsid w:val="00FB0413"/>
    <w:rsid w:val="00FB1855"/>
    <w:rsid w:val="00FB7AF2"/>
    <w:rsid w:val="00FC3A59"/>
    <w:rsid w:val="00FC7F2E"/>
    <w:rsid w:val="00FD53C1"/>
    <w:rsid w:val="00FD5F3D"/>
    <w:rsid w:val="00FE4164"/>
    <w:rsid w:val="00FF5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000AE5-BD79-4704-94C4-A311E3B7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894"/>
    <w:pPr>
      <w:widowControl w:val="0"/>
      <w:spacing w:line="400" w:lineRule="exact"/>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F50027"/>
    <w:pPr>
      <w:keepNext/>
      <w:keepLines/>
      <w:spacing w:before="120" w:after="120" w:line="578" w:lineRule="auto"/>
      <w:jc w:val="center"/>
      <w:outlineLvl w:val="0"/>
    </w:pPr>
    <w:rPr>
      <w:b/>
      <w:bCs/>
      <w:kern w:val="44"/>
      <w:sz w:val="32"/>
      <w:szCs w:val="44"/>
    </w:rPr>
  </w:style>
  <w:style w:type="paragraph" w:styleId="2">
    <w:name w:val="heading 2"/>
    <w:basedOn w:val="a"/>
    <w:next w:val="a"/>
    <w:link w:val="2Char"/>
    <w:uiPriority w:val="9"/>
    <w:unhideWhenUsed/>
    <w:qFormat/>
    <w:rsid w:val="00F50027"/>
    <w:pPr>
      <w:keepNext/>
      <w:keepLines/>
      <w:spacing w:before="240" w:after="240" w:line="415" w:lineRule="auto"/>
      <w:jc w:val="left"/>
      <w:outlineLvl w:val="1"/>
    </w:pPr>
    <w:rPr>
      <w:rFonts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0027"/>
    <w:rPr>
      <w:rFonts w:ascii="Times New Roman" w:eastAsia="宋体" w:hAnsi="Times New Roman"/>
      <w:b/>
      <w:bCs/>
      <w:kern w:val="44"/>
      <w:sz w:val="32"/>
      <w:szCs w:val="44"/>
    </w:rPr>
  </w:style>
  <w:style w:type="character" w:styleId="a3">
    <w:name w:val="Hyperlink"/>
    <w:basedOn w:val="a0"/>
    <w:uiPriority w:val="99"/>
    <w:unhideWhenUsed/>
    <w:rsid w:val="00AC2912"/>
    <w:rPr>
      <w:color w:val="0563C1" w:themeColor="hyperlink"/>
      <w:u w:val="single"/>
    </w:rPr>
  </w:style>
  <w:style w:type="character" w:customStyle="1" w:styleId="UnresolvedMention">
    <w:name w:val="Unresolved Mention"/>
    <w:basedOn w:val="a0"/>
    <w:uiPriority w:val="99"/>
    <w:semiHidden/>
    <w:unhideWhenUsed/>
    <w:rsid w:val="00AC2912"/>
    <w:rPr>
      <w:color w:val="808080"/>
      <w:shd w:val="clear" w:color="auto" w:fill="E6E6E6"/>
    </w:rPr>
  </w:style>
  <w:style w:type="paragraph" w:styleId="a4">
    <w:name w:val="header"/>
    <w:basedOn w:val="a"/>
    <w:link w:val="Char"/>
    <w:uiPriority w:val="99"/>
    <w:unhideWhenUsed/>
    <w:rsid w:val="009A7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A70EA"/>
    <w:rPr>
      <w:sz w:val="18"/>
      <w:szCs w:val="18"/>
    </w:rPr>
  </w:style>
  <w:style w:type="paragraph" w:styleId="a5">
    <w:name w:val="footer"/>
    <w:basedOn w:val="a"/>
    <w:link w:val="Char0"/>
    <w:uiPriority w:val="99"/>
    <w:unhideWhenUsed/>
    <w:rsid w:val="009A70EA"/>
    <w:pPr>
      <w:tabs>
        <w:tab w:val="center" w:pos="4153"/>
        <w:tab w:val="right" w:pos="8306"/>
      </w:tabs>
      <w:snapToGrid w:val="0"/>
      <w:jc w:val="left"/>
    </w:pPr>
    <w:rPr>
      <w:sz w:val="18"/>
      <w:szCs w:val="18"/>
    </w:rPr>
  </w:style>
  <w:style w:type="character" w:customStyle="1" w:styleId="Char0">
    <w:name w:val="页脚 Char"/>
    <w:basedOn w:val="a0"/>
    <w:link w:val="a5"/>
    <w:uiPriority w:val="99"/>
    <w:rsid w:val="009A70EA"/>
    <w:rPr>
      <w:sz w:val="18"/>
      <w:szCs w:val="18"/>
    </w:rPr>
  </w:style>
  <w:style w:type="character" w:styleId="a6">
    <w:name w:val="FollowedHyperlink"/>
    <w:basedOn w:val="a0"/>
    <w:uiPriority w:val="99"/>
    <w:semiHidden/>
    <w:unhideWhenUsed/>
    <w:rsid w:val="00BB7A6D"/>
    <w:rPr>
      <w:color w:val="954F72" w:themeColor="followedHyperlink"/>
      <w:u w:val="single"/>
    </w:rPr>
  </w:style>
  <w:style w:type="paragraph" w:customStyle="1" w:styleId="Default">
    <w:name w:val="Default"/>
    <w:rsid w:val="000C0CB2"/>
    <w:pPr>
      <w:widowControl w:val="0"/>
      <w:autoSpaceDE w:val="0"/>
      <w:autoSpaceDN w:val="0"/>
      <w:adjustRightInd w:val="0"/>
    </w:pPr>
    <w:rPr>
      <w:rFonts w:ascii="Times New Roman" w:hAnsi="Times New Roman" w:cs="Times New Roman"/>
      <w:color w:val="000000"/>
      <w:kern w:val="0"/>
      <w:sz w:val="24"/>
      <w:szCs w:val="24"/>
    </w:rPr>
  </w:style>
  <w:style w:type="paragraph" w:styleId="a7">
    <w:name w:val="footnote text"/>
    <w:basedOn w:val="a"/>
    <w:link w:val="Char1"/>
    <w:uiPriority w:val="99"/>
    <w:semiHidden/>
    <w:unhideWhenUsed/>
    <w:rsid w:val="002F4990"/>
    <w:pPr>
      <w:snapToGrid w:val="0"/>
      <w:jc w:val="left"/>
    </w:pPr>
    <w:rPr>
      <w:sz w:val="18"/>
      <w:szCs w:val="18"/>
    </w:rPr>
  </w:style>
  <w:style w:type="character" w:customStyle="1" w:styleId="Char1">
    <w:name w:val="脚注文本 Char"/>
    <w:basedOn w:val="a0"/>
    <w:link w:val="a7"/>
    <w:uiPriority w:val="99"/>
    <w:semiHidden/>
    <w:rsid w:val="002F4990"/>
    <w:rPr>
      <w:sz w:val="18"/>
      <w:szCs w:val="18"/>
    </w:rPr>
  </w:style>
  <w:style w:type="character" w:styleId="a8">
    <w:name w:val="footnote reference"/>
    <w:basedOn w:val="a0"/>
    <w:uiPriority w:val="99"/>
    <w:semiHidden/>
    <w:unhideWhenUsed/>
    <w:rsid w:val="002F4990"/>
    <w:rPr>
      <w:vertAlign w:val="superscript"/>
    </w:rPr>
  </w:style>
  <w:style w:type="paragraph" w:styleId="a9">
    <w:name w:val="List Paragraph"/>
    <w:basedOn w:val="a"/>
    <w:uiPriority w:val="34"/>
    <w:qFormat/>
    <w:rsid w:val="00C53CCE"/>
    <w:pPr>
      <w:ind w:firstLine="420"/>
    </w:pPr>
  </w:style>
  <w:style w:type="paragraph" w:customStyle="1" w:styleId="10">
    <w:name w:val="样式1"/>
    <w:basedOn w:val="a"/>
    <w:link w:val="1Char0"/>
    <w:qFormat/>
    <w:rsid w:val="002F3B3E"/>
    <w:pPr>
      <w:autoSpaceDE w:val="0"/>
      <w:autoSpaceDN w:val="0"/>
      <w:adjustRightInd w:val="0"/>
      <w:jc w:val="center"/>
    </w:pPr>
    <w:rPr>
      <w:rFonts w:ascii="宋体" w:hAnsi="宋体" w:cs="Times New Roman"/>
      <w:b/>
      <w:bCs/>
      <w:color w:val="000000"/>
      <w:kern w:val="0"/>
      <w:sz w:val="32"/>
      <w:szCs w:val="32"/>
    </w:rPr>
  </w:style>
  <w:style w:type="character" w:customStyle="1" w:styleId="1Char0">
    <w:name w:val="样式1 Char"/>
    <w:basedOn w:val="a0"/>
    <w:link w:val="10"/>
    <w:rsid w:val="002F3B3E"/>
    <w:rPr>
      <w:rFonts w:ascii="宋体" w:eastAsia="宋体" w:hAnsi="宋体" w:cs="Times New Roman"/>
      <w:b/>
      <w:bCs/>
      <w:color w:val="000000"/>
      <w:kern w:val="0"/>
      <w:sz w:val="32"/>
      <w:szCs w:val="32"/>
    </w:rPr>
  </w:style>
  <w:style w:type="paragraph" w:styleId="TOC">
    <w:name w:val="TOC Heading"/>
    <w:basedOn w:val="1"/>
    <w:next w:val="a"/>
    <w:uiPriority w:val="39"/>
    <w:unhideWhenUsed/>
    <w:qFormat/>
    <w:rsid w:val="0031228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20">
    <w:name w:val="toc 2"/>
    <w:basedOn w:val="a"/>
    <w:next w:val="a"/>
    <w:autoRedefine/>
    <w:uiPriority w:val="39"/>
    <w:unhideWhenUsed/>
    <w:rsid w:val="0031228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12285"/>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12285"/>
    <w:pPr>
      <w:widowControl/>
      <w:spacing w:after="100" w:line="259" w:lineRule="auto"/>
      <w:ind w:left="440"/>
      <w:jc w:val="left"/>
    </w:pPr>
    <w:rPr>
      <w:rFonts w:cs="Times New Roman"/>
      <w:kern w:val="0"/>
      <w:sz w:val="22"/>
    </w:rPr>
  </w:style>
  <w:style w:type="character" w:customStyle="1" w:styleId="2Char">
    <w:name w:val="标题 2 Char"/>
    <w:basedOn w:val="a0"/>
    <w:link w:val="2"/>
    <w:uiPriority w:val="9"/>
    <w:rsid w:val="00F50027"/>
    <w:rPr>
      <w:rFonts w:ascii="Times New Roman" w:eastAsia="宋体" w:hAnsi="Times New Roman"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144">
      <w:bodyDiv w:val="1"/>
      <w:marLeft w:val="0"/>
      <w:marRight w:val="0"/>
      <w:marTop w:val="100"/>
      <w:marBottom w:val="100"/>
      <w:divBdr>
        <w:top w:val="none" w:sz="0" w:space="0" w:color="auto"/>
        <w:left w:val="none" w:sz="0" w:space="0" w:color="auto"/>
        <w:bottom w:val="none" w:sz="0" w:space="0" w:color="auto"/>
        <w:right w:val="none" w:sz="0" w:space="0" w:color="auto"/>
      </w:divBdr>
      <w:divsChild>
        <w:div w:id="1043677085">
          <w:marLeft w:val="0"/>
          <w:marRight w:val="0"/>
          <w:marTop w:val="0"/>
          <w:marBottom w:val="0"/>
          <w:divBdr>
            <w:top w:val="none" w:sz="0" w:space="0" w:color="auto"/>
            <w:left w:val="none" w:sz="0" w:space="0" w:color="auto"/>
            <w:bottom w:val="none" w:sz="0" w:space="0" w:color="auto"/>
            <w:right w:val="none" w:sz="0" w:space="0" w:color="auto"/>
          </w:divBdr>
          <w:divsChild>
            <w:div w:id="1925840907">
              <w:marLeft w:val="0"/>
              <w:marRight w:val="0"/>
              <w:marTop w:val="0"/>
              <w:marBottom w:val="0"/>
              <w:divBdr>
                <w:top w:val="none" w:sz="0" w:space="0" w:color="auto"/>
                <w:left w:val="none" w:sz="0" w:space="0" w:color="auto"/>
                <w:bottom w:val="none" w:sz="0" w:space="0" w:color="auto"/>
                <w:right w:val="none" w:sz="0" w:space="0" w:color="auto"/>
              </w:divBdr>
              <w:divsChild>
                <w:div w:id="657656375">
                  <w:marLeft w:val="0"/>
                  <w:marRight w:val="0"/>
                  <w:marTop w:val="0"/>
                  <w:marBottom w:val="0"/>
                  <w:divBdr>
                    <w:top w:val="none" w:sz="0" w:space="0" w:color="auto"/>
                    <w:left w:val="none" w:sz="0" w:space="0" w:color="auto"/>
                    <w:bottom w:val="none" w:sz="0" w:space="0" w:color="auto"/>
                    <w:right w:val="none" w:sz="0" w:space="0" w:color="auto"/>
                  </w:divBdr>
                  <w:divsChild>
                    <w:div w:id="1467553321">
                      <w:marLeft w:val="0"/>
                      <w:marRight w:val="0"/>
                      <w:marTop w:val="150"/>
                      <w:marBottom w:val="0"/>
                      <w:divBdr>
                        <w:top w:val="none" w:sz="0" w:space="0" w:color="auto"/>
                        <w:left w:val="none" w:sz="0" w:space="0" w:color="auto"/>
                        <w:bottom w:val="none" w:sz="0" w:space="0" w:color="auto"/>
                        <w:right w:val="none" w:sz="0" w:space="0" w:color="auto"/>
                      </w:divBdr>
                      <w:divsChild>
                        <w:div w:id="1402171982">
                          <w:marLeft w:val="0"/>
                          <w:marRight w:val="3450"/>
                          <w:marTop w:val="0"/>
                          <w:marBottom w:val="0"/>
                          <w:divBdr>
                            <w:top w:val="none" w:sz="0" w:space="0" w:color="auto"/>
                            <w:left w:val="none" w:sz="0" w:space="0" w:color="auto"/>
                            <w:bottom w:val="none" w:sz="0" w:space="0" w:color="auto"/>
                            <w:right w:val="none" w:sz="0" w:space="0" w:color="auto"/>
                          </w:divBdr>
                          <w:divsChild>
                            <w:div w:id="10645994">
                              <w:marLeft w:val="0"/>
                              <w:marRight w:val="0"/>
                              <w:marTop w:val="0"/>
                              <w:marBottom w:val="0"/>
                              <w:divBdr>
                                <w:top w:val="none" w:sz="0" w:space="0" w:color="auto"/>
                                <w:left w:val="none" w:sz="0" w:space="0" w:color="auto"/>
                                <w:bottom w:val="none" w:sz="0" w:space="0" w:color="auto"/>
                                <w:right w:val="none" w:sz="0" w:space="0" w:color="auto"/>
                              </w:divBdr>
                              <w:divsChild>
                                <w:div w:id="999506788">
                                  <w:marLeft w:val="0"/>
                                  <w:marRight w:val="0"/>
                                  <w:marTop w:val="0"/>
                                  <w:marBottom w:val="0"/>
                                  <w:divBdr>
                                    <w:top w:val="none" w:sz="0" w:space="0" w:color="auto"/>
                                    <w:left w:val="none" w:sz="0" w:space="0" w:color="auto"/>
                                    <w:bottom w:val="none" w:sz="0" w:space="0" w:color="auto"/>
                                    <w:right w:val="none" w:sz="0" w:space="0" w:color="auto"/>
                                  </w:divBdr>
                                  <w:divsChild>
                                    <w:div w:id="1286233039">
                                      <w:marLeft w:val="0"/>
                                      <w:marRight w:val="0"/>
                                      <w:marTop w:val="0"/>
                                      <w:marBottom w:val="0"/>
                                      <w:divBdr>
                                        <w:top w:val="none" w:sz="0" w:space="0" w:color="auto"/>
                                        <w:left w:val="none" w:sz="0" w:space="0" w:color="auto"/>
                                        <w:bottom w:val="none" w:sz="0" w:space="0" w:color="auto"/>
                                        <w:right w:val="none" w:sz="0" w:space="0" w:color="auto"/>
                                      </w:divBdr>
                                      <w:divsChild>
                                        <w:div w:id="1773668458">
                                          <w:marLeft w:val="0"/>
                                          <w:marRight w:val="0"/>
                                          <w:marTop w:val="0"/>
                                          <w:marBottom w:val="0"/>
                                          <w:divBdr>
                                            <w:top w:val="none" w:sz="0" w:space="0" w:color="auto"/>
                                            <w:left w:val="none" w:sz="0" w:space="0" w:color="auto"/>
                                            <w:bottom w:val="none" w:sz="0" w:space="0" w:color="auto"/>
                                            <w:right w:val="none" w:sz="0" w:space="0" w:color="auto"/>
                                          </w:divBdr>
                                          <w:divsChild>
                                            <w:div w:id="992878573">
                                              <w:marLeft w:val="0"/>
                                              <w:marRight w:val="0"/>
                                              <w:marTop w:val="0"/>
                                              <w:marBottom w:val="0"/>
                                              <w:divBdr>
                                                <w:top w:val="none" w:sz="0" w:space="0" w:color="auto"/>
                                                <w:left w:val="none" w:sz="0" w:space="0" w:color="auto"/>
                                                <w:bottom w:val="none" w:sz="0" w:space="0" w:color="auto"/>
                                                <w:right w:val="none" w:sz="0" w:space="0" w:color="auto"/>
                                              </w:divBdr>
                                              <w:divsChild>
                                                <w:div w:id="548226488">
                                                  <w:marLeft w:val="0"/>
                                                  <w:marRight w:val="0"/>
                                                  <w:marTop w:val="0"/>
                                                  <w:marBottom w:val="0"/>
                                                  <w:divBdr>
                                                    <w:top w:val="none" w:sz="0" w:space="0" w:color="auto"/>
                                                    <w:left w:val="none" w:sz="0" w:space="0" w:color="auto"/>
                                                    <w:bottom w:val="none" w:sz="0" w:space="0" w:color="auto"/>
                                                    <w:right w:val="none" w:sz="0" w:space="0" w:color="auto"/>
                                                  </w:divBdr>
                                                  <w:divsChild>
                                                    <w:div w:id="1579097081">
                                                      <w:marLeft w:val="0"/>
                                                      <w:marRight w:val="0"/>
                                                      <w:marTop w:val="0"/>
                                                      <w:marBottom w:val="0"/>
                                                      <w:divBdr>
                                                        <w:top w:val="none" w:sz="0" w:space="0" w:color="auto"/>
                                                        <w:left w:val="none" w:sz="0" w:space="0" w:color="auto"/>
                                                        <w:bottom w:val="none" w:sz="0" w:space="0" w:color="auto"/>
                                                        <w:right w:val="none" w:sz="0" w:space="0" w:color="auto"/>
                                                      </w:divBdr>
                                                      <w:divsChild>
                                                        <w:div w:id="1770814078">
                                                          <w:marLeft w:val="0"/>
                                                          <w:marRight w:val="0"/>
                                                          <w:marTop w:val="0"/>
                                                          <w:marBottom w:val="0"/>
                                                          <w:divBdr>
                                                            <w:top w:val="none" w:sz="0" w:space="0" w:color="auto"/>
                                                            <w:left w:val="none" w:sz="0" w:space="0" w:color="auto"/>
                                                            <w:bottom w:val="none" w:sz="0" w:space="0" w:color="auto"/>
                                                            <w:right w:val="none" w:sz="0" w:space="0" w:color="auto"/>
                                                          </w:divBdr>
                                                          <w:divsChild>
                                                            <w:div w:id="1781297269">
                                                              <w:marLeft w:val="0"/>
                                                              <w:marRight w:val="0"/>
                                                              <w:marTop w:val="0"/>
                                                              <w:marBottom w:val="0"/>
                                                              <w:divBdr>
                                                                <w:top w:val="none" w:sz="0" w:space="0" w:color="auto"/>
                                                                <w:left w:val="none" w:sz="0" w:space="0" w:color="auto"/>
                                                                <w:bottom w:val="none" w:sz="0" w:space="0" w:color="auto"/>
                                                                <w:right w:val="none" w:sz="0" w:space="0" w:color="auto"/>
                                                              </w:divBdr>
                                                              <w:divsChild>
                                                                <w:div w:id="1932353315">
                                                                  <w:marLeft w:val="0"/>
                                                                  <w:marRight w:val="0"/>
                                                                  <w:marTop w:val="0"/>
                                                                  <w:marBottom w:val="0"/>
                                                                  <w:divBdr>
                                                                    <w:top w:val="none" w:sz="0" w:space="0" w:color="auto"/>
                                                                    <w:left w:val="none" w:sz="0" w:space="0" w:color="auto"/>
                                                                    <w:bottom w:val="none" w:sz="0" w:space="0" w:color="auto"/>
                                                                    <w:right w:val="none" w:sz="0" w:space="0" w:color="auto"/>
                                                                  </w:divBdr>
                                                                  <w:divsChild>
                                                                    <w:div w:id="1079403523">
                                                                      <w:marLeft w:val="0"/>
                                                                      <w:marRight w:val="0"/>
                                                                      <w:marTop w:val="0"/>
                                                                      <w:marBottom w:val="0"/>
                                                                      <w:divBdr>
                                                                        <w:top w:val="none" w:sz="0" w:space="0" w:color="auto"/>
                                                                        <w:left w:val="none" w:sz="0" w:space="0" w:color="auto"/>
                                                                        <w:bottom w:val="none" w:sz="0" w:space="0" w:color="auto"/>
                                                                        <w:right w:val="none" w:sz="0" w:space="0" w:color="auto"/>
                                                                      </w:divBdr>
                                                                      <w:divsChild>
                                                                        <w:div w:id="709260815">
                                                                          <w:marLeft w:val="0"/>
                                                                          <w:marRight w:val="0"/>
                                                                          <w:marTop w:val="0"/>
                                                                          <w:marBottom w:val="0"/>
                                                                          <w:divBdr>
                                                                            <w:top w:val="none" w:sz="0" w:space="0" w:color="auto"/>
                                                                            <w:left w:val="none" w:sz="0" w:space="0" w:color="auto"/>
                                                                            <w:bottom w:val="none" w:sz="0" w:space="0" w:color="auto"/>
                                                                            <w:right w:val="none" w:sz="0" w:space="0" w:color="auto"/>
                                                                          </w:divBdr>
                                                                          <w:divsChild>
                                                                            <w:div w:id="353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9705">
      <w:bodyDiv w:val="1"/>
      <w:marLeft w:val="0"/>
      <w:marRight w:val="0"/>
      <w:marTop w:val="0"/>
      <w:marBottom w:val="0"/>
      <w:divBdr>
        <w:top w:val="none" w:sz="0" w:space="0" w:color="auto"/>
        <w:left w:val="none" w:sz="0" w:space="0" w:color="auto"/>
        <w:bottom w:val="none" w:sz="0" w:space="0" w:color="auto"/>
        <w:right w:val="none" w:sz="0" w:space="0" w:color="auto"/>
      </w:divBdr>
    </w:div>
    <w:div w:id="176162359">
      <w:bodyDiv w:val="1"/>
      <w:marLeft w:val="0"/>
      <w:marRight w:val="0"/>
      <w:marTop w:val="0"/>
      <w:marBottom w:val="0"/>
      <w:divBdr>
        <w:top w:val="none" w:sz="0" w:space="0" w:color="auto"/>
        <w:left w:val="none" w:sz="0" w:space="0" w:color="auto"/>
        <w:bottom w:val="none" w:sz="0" w:space="0" w:color="auto"/>
        <w:right w:val="none" w:sz="0" w:space="0" w:color="auto"/>
      </w:divBdr>
      <w:divsChild>
        <w:div w:id="2062629515">
          <w:marLeft w:val="0"/>
          <w:marRight w:val="0"/>
          <w:marTop w:val="0"/>
          <w:marBottom w:val="0"/>
          <w:divBdr>
            <w:top w:val="none" w:sz="0" w:space="0" w:color="auto"/>
            <w:left w:val="none" w:sz="0" w:space="0" w:color="auto"/>
            <w:bottom w:val="none" w:sz="0" w:space="0" w:color="auto"/>
            <w:right w:val="none" w:sz="0" w:space="0" w:color="auto"/>
          </w:divBdr>
          <w:divsChild>
            <w:div w:id="1742481808">
              <w:marLeft w:val="0"/>
              <w:marRight w:val="0"/>
              <w:marTop w:val="0"/>
              <w:marBottom w:val="0"/>
              <w:divBdr>
                <w:top w:val="none" w:sz="0" w:space="0" w:color="auto"/>
                <w:left w:val="none" w:sz="0" w:space="0" w:color="auto"/>
                <w:bottom w:val="none" w:sz="0" w:space="0" w:color="auto"/>
                <w:right w:val="none" w:sz="0" w:space="0" w:color="auto"/>
              </w:divBdr>
              <w:divsChild>
                <w:div w:id="158810072">
                  <w:marLeft w:val="0"/>
                  <w:marRight w:val="0"/>
                  <w:marTop w:val="0"/>
                  <w:marBottom w:val="0"/>
                  <w:divBdr>
                    <w:top w:val="none" w:sz="0" w:space="0" w:color="auto"/>
                    <w:left w:val="none" w:sz="0" w:space="0" w:color="auto"/>
                    <w:bottom w:val="none" w:sz="0" w:space="0" w:color="auto"/>
                    <w:right w:val="none" w:sz="0" w:space="0" w:color="auto"/>
                  </w:divBdr>
                  <w:divsChild>
                    <w:div w:id="877275092">
                      <w:marLeft w:val="150"/>
                      <w:marRight w:val="0"/>
                      <w:marTop w:val="0"/>
                      <w:marBottom w:val="0"/>
                      <w:divBdr>
                        <w:top w:val="none" w:sz="0" w:space="0" w:color="auto"/>
                        <w:left w:val="none" w:sz="0" w:space="0" w:color="auto"/>
                        <w:bottom w:val="none" w:sz="0" w:space="0" w:color="auto"/>
                        <w:right w:val="none" w:sz="0" w:space="0" w:color="auto"/>
                      </w:divBdr>
                      <w:divsChild>
                        <w:div w:id="599606178">
                          <w:marLeft w:val="0"/>
                          <w:marRight w:val="0"/>
                          <w:marTop w:val="0"/>
                          <w:marBottom w:val="150"/>
                          <w:divBdr>
                            <w:top w:val="none" w:sz="0" w:space="0" w:color="auto"/>
                            <w:left w:val="none" w:sz="0" w:space="0" w:color="auto"/>
                            <w:bottom w:val="none" w:sz="0" w:space="0" w:color="auto"/>
                            <w:right w:val="none" w:sz="0" w:space="0" w:color="auto"/>
                          </w:divBdr>
                          <w:divsChild>
                            <w:div w:id="1567842759">
                              <w:marLeft w:val="0"/>
                              <w:marRight w:val="0"/>
                              <w:marTop w:val="0"/>
                              <w:marBottom w:val="0"/>
                              <w:divBdr>
                                <w:top w:val="none" w:sz="0" w:space="0" w:color="auto"/>
                                <w:left w:val="none" w:sz="0" w:space="0" w:color="auto"/>
                                <w:bottom w:val="none" w:sz="0" w:space="0" w:color="auto"/>
                                <w:right w:val="none" w:sz="0" w:space="0" w:color="auto"/>
                              </w:divBdr>
                              <w:divsChild>
                                <w:div w:id="585771754">
                                  <w:marLeft w:val="0"/>
                                  <w:marRight w:val="0"/>
                                  <w:marTop w:val="0"/>
                                  <w:marBottom w:val="0"/>
                                  <w:divBdr>
                                    <w:top w:val="none" w:sz="0" w:space="0" w:color="auto"/>
                                    <w:left w:val="none" w:sz="0" w:space="0" w:color="auto"/>
                                    <w:bottom w:val="none" w:sz="0" w:space="0" w:color="auto"/>
                                    <w:right w:val="none" w:sz="0" w:space="0" w:color="auto"/>
                                  </w:divBdr>
                                  <w:divsChild>
                                    <w:div w:id="2678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474819">
      <w:bodyDiv w:val="1"/>
      <w:marLeft w:val="0"/>
      <w:marRight w:val="0"/>
      <w:marTop w:val="0"/>
      <w:marBottom w:val="0"/>
      <w:divBdr>
        <w:top w:val="none" w:sz="0" w:space="0" w:color="auto"/>
        <w:left w:val="none" w:sz="0" w:space="0" w:color="auto"/>
        <w:bottom w:val="none" w:sz="0" w:space="0" w:color="auto"/>
        <w:right w:val="none" w:sz="0" w:space="0" w:color="auto"/>
      </w:divBdr>
    </w:div>
    <w:div w:id="334964299">
      <w:bodyDiv w:val="1"/>
      <w:marLeft w:val="0"/>
      <w:marRight w:val="0"/>
      <w:marTop w:val="0"/>
      <w:marBottom w:val="0"/>
      <w:divBdr>
        <w:top w:val="none" w:sz="0" w:space="0" w:color="auto"/>
        <w:left w:val="none" w:sz="0" w:space="0" w:color="auto"/>
        <w:bottom w:val="none" w:sz="0" w:space="0" w:color="auto"/>
        <w:right w:val="none" w:sz="0" w:space="0" w:color="auto"/>
      </w:divBdr>
      <w:divsChild>
        <w:div w:id="15544007">
          <w:marLeft w:val="0"/>
          <w:marRight w:val="0"/>
          <w:marTop w:val="0"/>
          <w:marBottom w:val="0"/>
          <w:divBdr>
            <w:top w:val="none" w:sz="0" w:space="0" w:color="auto"/>
            <w:left w:val="none" w:sz="0" w:space="0" w:color="auto"/>
            <w:bottom w:val="none" w:sz="0" w:space="0" w:color="auto"/>
            <w:right w:val="none" w:sz="0" w:space="0" w:color="auto"/>
          </w:divBdr>
          <w:divsChild>
            <w:div w:id="1770153300">
              <w:marLeft w:val="0"/>
              <w:marRight w:val="0"/>
              <w:marTop w:val="0"/>
              <w:marBottom w:val="0"/>
              <w:divBdr>
                <w:top w:val="none" w:sz="0" w:space="0" w:color="auto"/>
                <w:left w:val="none" w:sz="0" w:space="0" w:color="auto"/>
                <w:bottom w:val="none" w:sz="0" w:space="0" w:color="auto"/>
                <w:right w:val="none" w:sz="0" w:space="0" w:color="auto"/>
              </w:divBdr>
              <w:divsChild>
                <w:div w:id="288707289">
                  <w:marLeft w:val="0"/>
                  <w:marRight w:val="0"/>
                  <w:marTop w:val="0"/>
                  <w:marBottom w:val="0"/>
                  <w:divBdr>
                    <w:top w:val="none" w:sz="0" w:space="0" w:color="auto"/>
                    <w:left w:val="none" w:sz="0" w:space="0" w:color="auto"/>
                    <w:bottom w:val="none" w:sz="0" w:space="0" w:color="auto"/>
                    <w:right w:val="none" w:sz="0" w:space="0" w:color="auto"/>
                  </w:divBdr>
                  <w:divsChild>
                    <w:div w:id="1461991428">
                      <w:marLeft w:val="150"/>
                      <w:marRight w:val="0"/>
                      <w:marTop w:val="0"/>
                      <w:marBottom w:val="0"/>
                      <w:divBdr>
                        <w:top w:val="none" w:sz="0" w:space="0" w:color="auto"/>
                        <w:left w:val="none" w:sz="0" w:space="0" w:color="auto"/>
                        <w:bottom w:val="none" w:sz="0" w:space="0" w:color="auto"/>
                        <w:right w:val="none" w:sz="0" w:space="0" w:color="auto"/>
                      </w:divBdr>
                      <w:divsChild>
                        <w:div w:id="1786804465">
                          <w:marLeft w:val="0"/>
                          <w:marRight w:val="0"/>
                          <w:marTop w:val="0"/>
                          <w:marBottom w:val="150"/>
                          <w:divBdr>
                            <w:top w:val="none" w:sz="0" w:space="0" w:color="auto"/>
                            <w:left w:val="none" w:sz="0" w:space="0" w:color="auto"/>
                            <w:bottom w:val="none" w:sz="0" w:space="0" w:color="auto"/>
                            <w:right w:val="none" w:sz="0" w:space="0" w:color="auto"/>
                          </w:divBdr>
                          <w:divsChild>
                            <w:div w:id="1779370778">
                              <w:marLeft w:val="0"/>
                              <w:marRight w:val="0"/>
                              <w:marTop w:val="0"/>
                              <w:marBottom w:val="0"/>
                              <w:divBdr>
                                <w:top w:val="none" w:sz="0" w:space="0" w:color="auto"/>
                                <w:left w:val="none" w:sz="0" w:space="0" w:color="auto"/>
                                <w:bottom w:val="none" w:sz="0" w:space="0" w:color="auto"/>
                                <w:right w:val="none" w:sz="0" w:space="0" w:color="auto"/>
                              </w:divBdr>
                              <w:divsChild>
                                <w:div w:id="430322914">
                                  <w:marLeft w:val="0"/>
                                  <w:marRight w:val="0"/>
                                  <w:marTop w:val="0"/>
                                  <w:marBottom w:val="0"/>
                                  <w:divBdr>
                                    <w:top w:val="none" w:sz="0" w:space="0" w:color="auto"/>
                                    <w:left w:val="none" w:sz="0" w:space="0" w:color="auto"/>
                                    <w:bottom w:val="none" w:sz="0" w:space="0" w:color="auto"/>
                                    <w:right w:val="none" w:sz="0" w:space="0" w:color="auto"/>
                                  </w:divBdr>
                                  <w:divsChild>
                                    <w:div w:id="928580208">
                                      <w:marLeft w:val="0"/>
                                      <w:marRight w:val="0"/>
                                      <w:marTop w:val="0"/>
                                      <w:marBottom w:val="0"/>
                                      <w:divBdr>
                                        <w:top w:val="none" w:sz="0" w:space="0" w:color="auto"/>
                                        <w:left w:val="none" w:sz="0" w:space="0" w:color="auto"/>
                                        <w:bottom w:val="none" w:sz="0" w:space="0" w:color="auto"/>
                                        <w:right w:val="none" w:sz="0" w:space="0" w:color="auto"/>
                                      </w:divBdr>
                                      <w:divsChild>
                                        <w:div w:id="1535120393">
                                          <w:marLeft w:val="0"/>
                                          <w:marRight w:val="0"/>
                                          <w:marTop w:val="300"/>
                                          <w:marBottom w:val="300"/>
                                          <w:divBdr>
                                            <w:top w:val="dotted" w:sz="6" w:space="11" w:color="CCCCCC"/>
                                            <w:left w:val="none" w:sz="0" w:space="0" w:color="auto"/>
                                            <w:bottom w:val="none" w:sz="0" w:space="0" w:color="auto"/>
                                            <w:right w:val="none" w:sz="0" w:space="0" w:color="auto"/>
                                          </w:divBdr>
                                          <w:divsChild>
                                            <w:div w:id="6336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714340">
      <w:bodyDiv w:val="1"/>
      <w:marLeft w:val="0"/>
      <w:marRight w:val="0"/>
      <w:marTop w:val="0"/>
      <w:marBottom w:val="0"/>
      <w:divBdr>
        <w:top w:val="none" w:sz="0" w:space="0" w:color="auto"/>
        <w:left w:val="none" w:sz="0" w:space="0" w:color="auto"/>
        <w:bottom w:val="none" w:sz="0" w:space="0" w:color="auto"/>
        <w:right w:val="none" w:sz="0" w:space="0" w:color="auto"/>
      </w:divBdr>
    </w:div>
    <w:div w:id="606041682">
      <w:bodyDiv w:val="1"/>
      <w:marLeft w:val="0"/>
      <w:marRight w:val="0"/>
      <w:marTop w:val="0"/>
      <w:marBottom w:val="0"/>
      <w:divBdr>
        <w:top w:val="none" w:sz="0" w:space="0" w:color="auto"/>
        <w:left w:val="none" w:sz="0" w:space="0" w:color="auto"/>
        <w:bottom w:val="none" w:sz="0" w:space="0" w:color="auto"/>
        <w:right w:val="none" w:sz="0" w:space="0" w:color="auto"/>
      </w:divBdr>
      <w:divsChild>
        <w:div w:id="1272207484">
          <w:marLeft w:val="0"/>
          <w:marRight w:val="0"/>
          <w:marTop w:val="0"/>
          <w:marBottom w:val="0"/>
          <w:divBdr>
            <w:top w:val="none" w:sz="0" w:space="0" w:color="auto"/>
            <w:left w:val="none" w:sz="0" w:space="0" w:color="auto"/>
            <w:bottom w:val="none" w:sz="0" w:space="0" w:color="auto"/>
            <w:right w:val="none" w:sz="0" w:space="0" w:color="auto"/>
          </w:divBdr>
          <w:divsChild>
            <w:div w:id="735400691">
              <w:marLeft w:val="0"/>
              <w:marRight w:val="0"/>
              <w:marTop w:val="0"/>
              <w:marBottom w:val="0"/>
              <w:divBdr>
                <w:top w:val="none" w:sz="0" w:space="0" w:color="auto"/>
                <w:left w:val="none" w:sz="0" w:space="0" w:color="auto"/>
                <w:bottom w:val="none" w:sz="0" w:space="0" w:color="auto"/>
                <w:right w:val="none" w:sz="0" w:space="0" w:color="auto"/>
              </w:divBdr>
              <w:divsChild>
                <w:div w:id="1622610376">
                  <w:marLeft w:val="0"/>
                  <w:marRight w:val="0"/>
                  <w:marTop w:val="0"/>
                  <w:marBottom w:val="0"/>
                  <w:divBdr>
                    <w:top w:val="none" w:sz="0" w:space="0" w:color="auto"/>
                    <w:left w:val="none" w:sz="0" w:space="0" w:color="auto"/>
                    <w:bottom w:val="none" w:sz="0" w:space="0" w:color="auto"/>
                    <w:right w:val="none" w:sz="0" w:space="0" w:color="auto"/>
                  </w:divBdr>
                  <w:divsChild>
                    <w:div w:id="918320899">
                      <w:marLeft w:val="150"/>
                      <w:marRight w:val="0"/>
                      <w:marTop w:val="0"/>
                      <w:marBottom w:val="0"/>
                      <w:divBdr>
                        <w:top w:val="none" w:sz="0" w:space="0" w:color="auto"/>
                        <w:left w:val="none" w:sz="0" w:space="0" w:color="auto"/>
                        <w:bottom w:val="none" w:sz="0" w:space="0" w:color="auto"/>
                        <w:right w:val="none" w:sz="0" w:space="0" w:color="auto"/>
                      </w:divBdr>
                      <w:divsChild>
                        <w:div w:id="1040013269">
                          <w:marLeft w:val="0"/>
                          <w:marRight w:val="0"/>
                          <w:marTop w:val="0"/>
                          <w:marBottom w:val="150"/>
                          <w:divBdr>
                            <w:top w:val="none" w:sz="0" w:space="0" w:color="auto"/>
                            <w:left w:val="none" w:sz="0" w:space="0" w:color="auto"/>
                            <w:bottom w:val="none" w:sz="0" w:space="0" w:color="auto"/>
                            <w:right w:val="none" w:sz="0" w:space="0" w:color="auto"/>
                          </w:divBdr>
                          <w:divsChild>
                            <w:div w:id="1013337325">
                              <w:marLeft w:val="0"/>
                              <w:marRight w:val="0"/>
                              <w:marTop w:val="0"/>
                              <w:marBottom w:val="0"/>
                              <w:divBdr>
                                <w:top w:val="none" w:sz="0" w:space="0" w:color="auto"/>
                                <w:left w:val="none" w:sz="0" w:space="0" w:color="auto"/>
                                <w:bottom w:val="none" w:sz="0" w:space="0" w:color="auto"/>
                                <w:right w:val="none" w:sz="0" w:space="0" w:color="auto"/>
                              </w:divBdr>
                              <w:divsChild>
                                <w:div w:id="10960498">
                                  <w:marLeft w:val="0"/>
                                  <w:marRight w:val="0"/>
                                  <w:marTop w:val="0"/>
                                  <w:marBottom w:val="0"/>
                                  <w:divBdr>
                                    <w:top w:val="none" w:sz="0" w:space="0" w:color="auto"/>
                                    <w:left w:val="none" w:sz="0" w:space="0" w:color="auto"/>
                                    <w:bottom w:val="none" w:sz="0" w:space="0" w:color="auto"/>
                                    <w:right w:val="none" w:sz="0" w:space="0" w:color="auto"/>
                                  </w:divBdr>
                                  <w:divsChild>
                                    <w:div w:id="380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986463">
      <w:bodyDiv w:val="1"/>
      <w:marLeft w:val="0"/>
      <w:marRight w:val="0"/>
      <w:marTop w:val="0"/>
      <w:marBottom w:val="0"/>
      <w:divBdr>
        <w:top w:val="none" w:sz="0" w:space="0" w:color="auto"/>
        <w:left w:val="none" w:sz="0" w:space="0" w:color="auto"/>
        <w:bottom w:val="none" w:sz="0" w:space="0" w:color="auto"/>
        <w:right w:val="none" w:sz="0" w:space="0" w:color="auto"/>
      </w:divBdr>
      <w:divsChild>
        <w:div w:id="1433159376">
          <w:marLeft w:val="0"/>
          <w:marRight w:val="0"/>
          <w:marTop w:val="0"/>
          <w:marBottom w:val="0"/>
          <w:divBdr>
            <w:top w:val="none" w:sz="0" w:space="0" w:color="auto"/>
            <w:left w:val="none" w:sz="0" w:space="0" w:color="auto"/>
            <w:bottom w:val="none" w:sz="0" w:space="0" w:color="auto"/>
            <w:right w:val="none" w:sz="0" w:space="0" w:color="auto"/>
          </w:divBdr>
          <w:divsChild>
            <w:div w:id="15159210">
              <w:marLeft w:val="0"/>
              <w:marRight w:val="0"/>
              <w:marTop w:val="0"/>
              <w:marBottom w:val="0"/>
              <w:divBdr>
                <w:top w:val="none" w:sz="0" w:space="0" w:color="auto"/>
                <w:left w:val="none" w:sz="0" w:space="0" w:color="auto"/>
                <w:bottom w:val="none" w:sz="0" w:space="0" w:color="auto"/>
                <w:right w:val="none" w:sz="0" w:space="0" w:color="auto"/>
              </w:divBdr>
              <w:divsChild>
                <w:div w:id="492915023">
                  <w:marLeft w:val="0"/>
                  <w:marRight w:val="0"/>
                  <w:marTop w:val="0"/>
                  <w:marBottom w:val="0"/>
                  <w:divBdr>
                    <w:top w:val="none" w:sz="0" w:space="0" w:color="auto"/>
                    <w:left w:val="none" w:sz="0" w:space="0" w:color="auto"/>
                    <w:bottom w:val="none" w:sz="0" w:space="0" w:color="auto"/>
                    <w:right w:val="none" w:sz="0" w:space="0" w:color="auto"/>
                  </w:divBdr>
                  <w:divsChild>
                    <w:div w:id="4216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3751">
      <w:bodyDiv w:val="1"/>
      <w:marLeft w:val="0"/>
      <w:marRight w:val="0"/>
      <w:marTop w:val="100"/>
      <w:marBottom w:val="100"/>
      <w:divBdr>
        <w:top w:val="none" w:sz="0" w:space="0" w:color="auto"/>
        <w:left w:val="none" w:sz="0" w:space="0" w:color="auto"/>
        <w:bottom w:val="none" w:sz="0" w:space="0" w:color="auto"/>
        <w:right w:val="none" w:sz="0" w:space="0" w:color="auto"/>
      </w:divBdr>
      <w:divsChild>
        <w:div w:id="192769483">
          <w:marLeft w:val="0"/>
          <w:marRight w:val="0"/>
          <w:marTop w:val="0"/>
          <w:marBottom w:val="0"/>
          <w:divBdr>
            <w:top w:val="none" w:sz="0" w:space="0" w:color="auto"/>
            <w:left w:val="none" w:sz="0" w:space="0" w:color="auto"/>
            <w:bottom w:val="none" w:sz="0" w:space="0" w:color="auto"/>
            <w:right w:val="none" w:sz="0" w:space="0" w:color="auto"/>
          </w:divBdr>
          <w:divsChild>
            <w:div w:id="1230313167">
              <w:marLeft w:val="0"/>
              <w:marRight w:val="0"/>
              <w:marTop w:val="0"/>
              <w:marBottom w:val="0"/>
              <w:divBdr>
                <w:top w:val="none" w:sz="0" w:space="0" w:color="auto"/>
                <w:left w:val="none" w:sz="0" w:space="0" w:color="auto"/>
                <w:bottom w:val="none" w:sz="0" w:space="0" w:color="auto"/>
                <w:right w:val="none" w:sz="0" w:space="0" w:color="auto"/>
              </w:divBdr>
              <w:divsChild>
                <w:div w:id="84495674">
                  <w:marLeft w:val="0"/>
                  <w:marRight w:val="0"/>
                  <w:marTop w:val="0"/>
                  <w:marBottom w:val="0"/>
                  <w:divBdr>
                    <w:top w:val="none" w:sz="0" w:space="0" w:color="auto"/>
                    <w:left w:val="none" w:sz="0" w:space="0" w:color="auto"/>
                    <w:bottom w:val="none" w:sz="0" w:space="0" w:color="auto"/>
                    <w:right w:val="none" w:sz="0" w:space="0" w:color="auto"/>
                  </w:divBdr>
                  <w:divsChild>
                    <w:div w:id="1131240755">
                      <w:marLeft w:val="0"/>
                      <w:marRight w:val="0"/>
                      <w:marTop w:val="150"/>
                      <w:marBottom w:val="0"/>
                      <w:divBdr>
                        <w:top w:val="none" w:sz="0" w:space="0" w:color="auto"/>
                        <w:left w:val="none" w:sz="0" w:space="0" w:color="auto"/>
                        <w:bottom w:val="none" w:sz="0" w:space="0" w:color="auto"/>
                        <w:right w:val="none" w:sz="0" w:space="0" w:color="auto"/>
                      </w:divBdr>
                      <w:divsChild>
                        <w:div w:id="427122763">
                          <w:marLeft w:val="0"/>
                          <w:marRight w:val="3450"/>
                          <w:marTop w:val="0"/>
                          <w:marBottom w:val="0"/>
                          <w:divBdr>
                            <w:top w:val="none" w:sz="0" w:space="0" w:color="auto"/>
                            <w:left w:val="none" w:sz="0" w:space="0" w:color="auto"/>
                            <w:bottom w:val="none" w:sz="0" w:space="0" w:color="auto"/>
                            <w:right w:val="none" w:sz="0" w:space="0" w:color="auto"/>
                          </w:divBdr>
                          <w:divsChild>
                            <w:div w:id="443577903">
                              <w:marLeft w:val="0"/>
                              <w:marRight w:val="0"/>
                              <w:marTop w:val="0"/>
                              <w:marBottom w:val="0"/>
                              <w:divBdr>
                                <w:top w:val="none" w:sz="0" w:space="0" w:color="auto"/>
                                <w:left w:val="none" w:sz="0" w:space="0" w:color="auto"/>
                                <w:bottom w:val="none" w:sz="0" w:space="0" w:color="auto"/>
                                <w:right w:val="none" w:sz="0" w:space="0" w:color="auto"/>
                              </w:divBdr>
                              <w:divsChild>
                                <w:div w:id="799104611">
                                  <w:marLeft w:val="0"/>
                                  <w:marRight w:val="0"/>
                                  <w:marTop w:val="0"/>
                                  <w:marBottom w:val="0"/>
                                  <w:divBdr>
                                    <w:top w:val="none" w:sz="0" w:space="0" w:color="auto"/>
                                    <w:left w:val="none" w:sz="0" w:space="0" w:color="auto"/>
                                    <w:bottom w:val="none" w:sz="0" w:space="0" w:color="auto"/>
                                    <w:right w:val="none" w:sz="0" w:space="0" w:color="auto"/>
                                  </w:divBdr>
                                  <w:divsChild>
                                    <w:div w:id="997540850">
                                      <w:marLeft w:val="0"/>
                                      <w:marRight w:val="0"/>
                                      <w:marTop w:val="0"/>
                                      <w:marBottom w:val="0"/>
                                      <w:divBdr>
                                        <w:top w:val="none" w:sz="0" w:space="0" w:color="auto"/>
                                        <w:left w:val="none" w:sz="0" w:space="0" w:color="auto"/>
                                        <w:bottom w:val="none" w:sz="0" w:space="0" w:color="auto"/>
                                        <w:right w:val="none" w:sz="0" w:space="0" w:color="auto"/>
                                      </w:divBdr>
                                      <w:divsChild>
                                        <w:div w:id="1629318163">
                                          <w:marLeft w:val="0"/>
                                          <w:marRight w:val="0"/>
                                          <w:marTop w:val="0"/>
                                          <w:marBottom w:val="0"/>
                                          <w:divBdr>
                                            <w:top w:val="none" w:sz="0" w:space="0" w:color="auto"/>
                                            <w:left w:val="none" w:sz="0" w:space="0" w:color="auto"/>
                                            <w:bottom w:val="none" w:sz="0" w:space="0" w:color="auto"/>
                                            <w:right w:val="none" w:sz="0" w:space="0" w:color="auto"/>
                                          </w:divBdr>
                                          <w:divsChild>
                                            <w:div w:id="1775175549">
                                              <w:marLeft w:val="0"/>
                                              <w:marRight w:val="0"/>
                                              <w:marTop w:val="0"/>
                                              <w:marBottom w:val="0"/>
                                              <w:divBdr>
                                                <w:top w:val="none" w:sz="0" w:space="0" w:color="auto"/>
                                                <w:left w:val="none" w:sz="0" w:space="0" w:color="auto"/>
                                                <w:bottom w:val="none" w:sz="0" w:space="0" w:color="auto"/>
                                                <w:right w:val="none" w:sz="0" w:space="0" w:color="auto"/>
                                              </w:divBdr>
                                              <w:divsChild>
                                                <w:div w:id="2135634393">
                                                  <w:marLeft w:val="0"/>
                                                  <w:marRight w:val="0"/>
                                                  <w:marTop w:val="0"/>
                                                  <w:marBottom w:val="0"/>
                                                  <w:divBdr>
                                                    <w:top w:val="none" w:sz="0" w:space="0" w:color="auto"/>
                                                    <w:left w:val="none" w:sz="0" w:space="0" w:color="auto"/>
                                                    <w:bottom w:val="none" w:sz="0" w:space="0" w:color="auto"/>
                                                    <w:right w:val="none" w:sz="0" w:space="0" w:color="auto"/>
                                                  </w:divBdr>
                                                  <w:divsChild>
                                                    <w:div w:id="502549289">
                                                      <w:marLeft w:val="0"/>
                                                      <w:marRight w:val="0"/>
                                                      <w:marTop w:val="0"/>
                                                      <w:marBottom w:val="0"/>
                                                      <w:divBdr>
                                                        <w:top w:val="none" w:sz="0" w:space="0" w:color="auto"/>
                                                        <w:left w:val="none" w:sz="0" w:space="0" w:color="auto"/>
                                                        <w:bottom w:val="none" w:sz="0" w:space="0" w:color="auto"/>
                                                        <w:right w:val="none" w:sz="0" w:space="0" w:color="auto"/>
                                                      </w:divBdr>
                                                      <w:divsChild>
                                                        <w:div w:id="70003893">
                                                          <w:marLeft w:val="0"/>
                                                          <w:marRight w:val="0"/>
                                                          <w:marTop w:val="0"/>
                                                          <w:marBottom w:val="0"/>
                                                          <w:divBdr>
                                                            <w:top w:val="none" w:sz="0" w:space="0" w:color="auto"/>
                                                            <w:left w:val="none" w:sz="0" w:space="0" w:color="auto"/>
                                                            <w:bottom w:val="none" w:sz="0" w:space="0" w:color="auto"/>
                                                            <w:right w:val="none" w:sz="0" w:space="0" w:color="auto"/>
                                                          </w:divBdr>
                                                          <w:divsChild>
                                                            <w:div w:id="591014731">
                                                              <w:marLeft w:val="0"/>
                                                              <w:marRight w:val="0"/>
                                                              <w:marTop w:val="0"/>
                                                              <w:marBottom w:val="0"/>
                                                              <w:divBdr>
                                                                <w:top w:val="none" w:sz="0" w:space="0" w:color="auto"/>
                                                                <w:left w:val="none" w:sz="0" w:space="0" w:color="auto"/>
                                                                <w:bottom w:val="none" w:sz="0" w:space="0" w:color="auto"/>
                                                                <w:right w:val="none" w:sz="0" w:space="0" w:color="auto"/>
                                                              </w:divBdr>
                                                              <w:divsChild>
                                                                <w:div w:id="1754744527">
                                                                  <w:marLeft w:val="0"/>
                                                                  <w:marRight w:val="0"/>
                                                                  <w:marTop w:val="0"/>
                                                                  <w:marBottom w:val="0"/>
                                                                  <w:divBdr>
                                                                    <w:top w:val="none" w:sz="0" w:space="0" w:color="auto"/>
                                                                    <w:left w:val="none" w:sz="0" w:space="0" w:color="auto"/>
                                                                    <w:bottom w:val="none" w:sz="0" w:space="0" w:color="auto"/>
                                                                    <w:right w:val="none" w:sz="0" w:space="0" w:color="auto"/>
                                                                  </w:divBdr>
                                                                  <w:divsChild>
                                                                    <w:div w:id="905215731">
                                                                      <w:marLeft w:val="0"/>
                                                                      <w:marRight w:val="0"/>
                                                                      <w:marTop w:val="0"/>
                                                                      <w:marBottom w:val="0"/>
                                                                      <w:divBdr>
                                                                        <w:top w:val="none" w:sz="0" w:space="0" w:color="auto"/>
                                                                        <w:left w:val="none" w:sz="0" w:space="0" w:color="auto"/>
                                                                        <w:bottom w:val="none" w:sz="0" w:space="0" w:color="auto"/>
                                                                        <w:right w:val="none" w:sz="0" w:space="0" w:color="auto"/>
                                                                      </w:divBdr>
                                                                      <w:divsChild>
                                                                        <w:div w:id="898244488">
                                                                          <w:marLeft w:val="0"/>
                                                                          <w:marRight w:val="0"/>
                                                                          <w:marTop w:val="0"/>
                                                                          <w:marBottom w:val="0"/>
                                                                          <w:divBdr>
                                                                            <w:top w:val="none" w:sz="0" w:space="0" w:color="auto"/>
                                                                            <w:left w:val="none" w:sz="0" w:space="0" w:color="auto"/>
                                                                            <w:bottom w:val="none" w:sz="0" w:space="0" w:color="auto"/>
                                                                            <w:right w:val="none" w:sz="0" w:space="0" w:color="auto"/>
                                                                          </w:divBdr>
                                                                          <w:divsChild>
                                                                            <w:div w:id="1703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52456">
      <w:bodyDiv w:val="1"/>
      <w:marLeft w:val="0"/>
      <w:marRight w:val="0"/>
      <w:marTop w:val="0"/>
      <w:marBottom w:val="0"/>
      <w:divBdr>
        <w:top w:val="none" w:sz="0" w:space="0" w:color="auto"/>
        <w:left w:val="none" w:sz="0" w:space="0" w:color="auto"/>
        <w:bottom w:val="none" w:sz="0" w:space="0" w:color="auto"/>
        <w:right w:val="none" w:sz="0" w:space="0" w:color="auto"/>
      </w:divBdr>
      <w:divsChild>
        <w:div w:id="1734036703">
          <w:marLeft w:val="0"/>
          <w:marRight w:val="0"/>
          <w:marTop w:val="0"/>
          <w:marBottom w:val="0"/>
          <w:divBdr>
            <w:top w:val="none" w:sz="0" w:space="0" w:color="auto"/>
            <w:left w:val="none" w:sz="0" w:space="0" w:color="auto"/>
            <w:bottom w:val="none" w:sz="0" w:space="0" w:color="auto"/>
            <w:right w:val="none" w:sz="0" w:space="0" w:color="auto"/>
          </w:divBdr>
          <w:divsChild>
            <w:div w:id="1641226228">
              <w:marLeft w:val="0"/>
              <w:marRight w:val="0"/>
              <w:marTop w:val="0"/>
              <w:marBottom w:val="0"/>
              <w:divBdr>
                <w:top w:val="none" w:sz="0" w:space="0" w:color="auto"/>
                <w:left w:val="none" w:sz="0" w:space="0" w:color="auto"/>
                <w:bottom w:val="none" w:sz="0" w:space="0" w:color="auto"/>
                <w:right w:val="none" w:sz="0" w:space="0" w:color="auto"/>
              </w:divBdr>
              <w:divsChild>
                <w:div w:id="255283849">
                  <w:marLeft w:val="0"/>
                  <w:marRight w:val="0"/>
                  <w:marTop w:val="0"/>
                  <w:marBottom w:val="0"/>
                  <w:divBdr>
                    <w:top w:val="none" w:sz="0" w:space="0" w:color="auto"/>
                    <w:left w:val="none" w:sz="0" w:space="0" w:color="auto"/>
                    <w:bottom w:val="none" w:sz="0" w:space="0" w:color="auto"/>
                    <w:right w:val="none" w:sz="0" w:space="0" w:color="auto"/>
                  </w:divBdr>
                  <w:divsChild>
                    <w:div w:id="1196236512">
                      <w:marLeft w:val="150"/>
                      <w:marRight w:val="0"/>
                      <w:marTop w:val="0"/>
                      <w:marBottom w:val="0"/>
                      <w:divBdr>
                        <w:top w:val="none" w:sz="0" w:space="0" w:color="auto"/>
                        <w:left w:val="none" w:sz="0" w:space="0" w:color="auto"/>
                        <w:bottom w:val="none" w:sz="0" w:space="0" w:color="auto"/>
                        <w:right w:val="none" w:sz="0" w:space="0" w:color="auto"/>
                      </w:divBdr>
                      <w:divsChild>
                        <w:div w:id="535506098">
                          <w:marLeft w:val="0"/>
                          <w:marRight w:val="0"/>
                          <w:marTop w:val="0"/>
                          <w:marBottom w:val="150"/>
                          <w:divBdr>
                            <w:top w:val="none" w:sz="0" w:space="0" w:color="auto"/>
                            <w:left w:val="none" w:sz="0" w:space="0" w:color="auto"/>
                            <w:bottom w:val="none" w:sz="0" w:space="0" w:color="auto"/>
                            <w:right w:val="none" w:sz="0" w:space="0" w:color="auto"/>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636401100">
                                  <w:marLeft w:val="0"/>
                                  <w:marRight w:val="0"/>
                                  <w:marTop w:val="0"/>
                                  <w:marBottom w:val="0"/>
                                  <w:divBdr>
                                    <w:top w:val="none" w:sz="0" w:space="0" w:color="auto"/>
                                    <w:left w:val="none" w:sz="0" w:space="0" w:color="auto"/>
                                    <w:bottom w:val="none" w:sz="0" w:space="0" w:color="auto"/>
                                    <w:right w:val="none" w:sz="0" w:space="0" w:color="auto"/>
                                  </w:divBdr>
                                  <w:divsChild>
                                    <w:div w:id="5861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446856">
      <w:bodyDiv w:val="1"/>
      <w:marLeft w:val="0"/>
      <w:marRight w:val="0"/>
      <w:marTop w:val="0"/>
      <w:marBottom w:val="0"/>
      <w:divBdr>
        <w:top w:val="none" w:sz="0" w:space="0" w:color="auto"/>
        <w:left w:val="none" w:sz="0" w:space="0" w:color="auto"/>
        <w:bottom w:val="none" w:sz="0" w:space="0" w:color="auto"/>
        <w:right w:val="none" w:sz="0" w:space="0" w:color="auto"/>
      </w:divBdr>
    </w:div>
    <w:div w:id="941183859">
      <w:bodyDiv w:val="1"/>
      <w:marLeft w:val="0"/>
      <w:marRight w:val="0"/>
      <w:marTop w:val="0"/>
      <w:marBottom w:val="0"/>
      <w:divBdr>
        <w:top w:val="none" w:sz="0" w:space="0" w:color="auto"/>
        <w:left w:val="none" w:sz="0" w:space="0" w:color="auto"/>
        <w:bottom w:val="none" w:sz="0" w:space="0" w:color="auto"/>
        <w:right w:val="none" w:sz="0" w:space="0" w:color="auto"/>
      </w:divBdr>
    </w:div>
    <w:div w:id="966011453">
      <w:bodyDiv w:val="1"/>
      <w:marLeft w:val="0"/>
      <w:marRight w:val="0"/>
      <w:marTop w:val="0"/>
      <w:marBottom w:val="0"/>
      <w:divBdr>
        <w:top w:val="none" w:sz="0" w:space="0" w:color="auto"/>
        <w:left w:val="none" w:sz="0" w:space="0" w:color="auto"/>
        <w:bottom w:val="none" w:sz="0" w:space="0" w:color="auto"/>
        <w:right w:val="none" w:sz="0" w:space="0" w:color="auto"/>
      </w:divBdr>
    </w:div>
    <w:div w:id="1082218411">
      <w:bodyDiv w:val="1"/>
      <w:marLeft w:val="0"/>
      <w:marRight w:val="0"/>
      <w:marTop w:val="0"/>
      <w:marBottom w:val="0"/>
      <w:divBdr>
        <w:top w:val="none" w:sz="0" w:space="0" w:color="auto"/>
        <w:left w:val="none" w:sz="0" w:space="0" w:color="auto"/>
        <w:bottom w:val="none" w:sz="0" w:space="0" w:color="auto"/>
        <w:right w:val="none" w:sz="0" w:space="0" w:color="auto"/>
      </w:divBdr>
      <w:divsChild>
        <w:div w:id="139733210">
          <w:marLeft w:val="0"/>
          <w:marRight w:val="0"/>
          <w:marTop w:val="0"/>
          <w:marBottom w:val="0"/>
          <w:divBdr>
            <w:top w:val="none" w:sz="0" w:space="0" w:color="auto"/>
            <w:left w:val="none" w:sz="0" w:space="0" w:color="auto"/>
            <w:bottom w:val="none" w:sz="0" w:space="0" w:color="auto"/>
            <w:right w:val="none" w:sz="0" w:space="0" w:color="auto"/>
          </w:divBdr>
          <w:divsChild>
            <w:div w:id="1922173633">
              <w:marLeft w:val="0"/>
              <w:marRight w:val="0"/>
              <w:marTop w:val="0"/>
              <w:marBottom w:val="0"/>
              <w:divBdr>
                <w:top w:val="none" w:sz="0" w:space="0" w:color="auto"/>
                <w:left w:val="none" w:sz="0" w:space="0" w:color="auto"/>
                <w:bottom w:val="none" w:sz="0" w:space="0" w:color="auto"/>
                <w:right w:val="none" w:sz="0" w:space="0" w:color="auto"/>
              </w:divBdr>
              <w:divsChild>
                <w:div w:id="1546286792">
                  <w:marLeft w:val="0"/>
                  <w:marRight w:val="0"/>
                  <w:marTop w:val="0"/>
                  <w:marBottom w:val="0"/>
                  <w:divBdr>
                    <w:top w:val="none" w:sz="0" w:space="0" w:color="auto"/>
                    <w:left w:val="none" w:sz="0" w:space="0" w:color="auto"/>
                    <w:bottom w:val="none" w:sz="0" w:space="0" w:color="auto"/>
                    <w:right w:val="none" w:sz="0" w:space="0" w:color="auto"/>
                  </w:divBdr>
                  <w:divsChild>
                    <w:div w:id="2049143902">
                      <w:marLeft w:val="150"/>
                      <w:marRight w:val="0"/>
                      <w:marTop w:val="0"/>
                      <w:marBottom w:val="0"/>
                      <w:divBdr>
                        <w:top w:val="none" w:sz="0" w:space="0" w:color="auto"/>
                        <w:left w:val="none" w:sz="0" w:space="0" w:color="auto"/>
                        <w:bottom w:val="none" w:sz="0" w:space="0" w:color="auto"/>
                        <w:right w:val="none" w:sz="0" w:space="0" w:color="auto"/>
                      </w:divBdr>
                      <w:divsChild>
                        <w:div w:id="240022319">
                          <w:marLeft w:val="0"/>
                          <w:marRight w:val="0"/>
                          <w:marTop w:val="0"/>
                          <w:marBottom w:val="150"/>
                          <w:divBdr>
                            <w:top w:val="none" w:sz="0" w:space="0" w:color="auto"/>
                            <w:left w:val="none" w:sz="0" w:space="0" w:color="auto"/>
                            <w:bottom w:val="none" w:sz="0" w:space="0" w:color="auto"/>
                            <w:right w:val="none" w:sz="0" w:space="0" w:color="auto"/>
                          </w:divBdr>
                          <w:divsChild>
                            <w:div w:id="1362587566">
                              <w:marLeft w:val="0"/>
                              <w:marRight w:val="0"/>
                              <w:marTop w:val="0"/>
                              <w:marBottom w:val="0"/>
                              <w:divBdr>
                                <w:top w:val="none" w:sz="0" w:space="0" w:color="auto"/>
                                <w:left w:val="none" w:sz="0" w:space="0" w:color="auto"/>
                                <w:bottom w:val="none" w:sz="0" w:space="0" w:color="auto"/>
                                <w:right w:val="none" w:sz="0" w:space="0" w:color="auto"/>
                              </w:divBdr>
                              <w:divsChild>
                                <w:div w:id="1340766705">
                                  <w:marLeft w:val="0"/>
                                  <w:marRight w:val="0"/>
                                  <w:marTop w:val="0"/>
                                  <w:marBottom w:val="0"/>
                                  <w:divBdr>
                                    <w:top w:val="none" w:sz="0" w:space="0" w:color="auto"/>
                                    <w:left w:val="none" w:sz="0" w:space="0" w:color="auto"/>
                                    <w:bottom w:val="none" w:sz="0" w:space="0" w:color="auto"/>
                                    <w:right w:val="none" w:sz="0" w:space="0" w:color="auto"/>
                                  </w:divBdr>
                                  <w:divsChild>
                                    <w:div w:id="17448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031431">
      <w:bodyDiv w:val="1"/>
      <w:marLeft w:val="0"/>
      <w:marRight w:val="0"/>
      <w:marTop w:val="0"/>
      <w:marBottom w:val="0"/>
      <w:divBdr>
        <w:top w:val="none" w:sz="0" w:space="0" w:color="auto"/>
        <w:left w:val="none" w:sz="0" w:space="0" w:color="auto"/>
        <w:bottom w:val="none" w:sz="0" w:space="0" w:color="auto"/>
        <w:right w:val="none" w:sz="0" w:space="0" w:color="auto"/>
      </w:divBdr>
      <w:divsChild>
        <w:div w:id="950817239">
          <w:marLeft w:val="0"/>
          <w:marRight w:val="0"/>
          <w:marTop w:val="0"/>
          <w:marBottom w:val="0"/>
          <w:divBdr>
            <w:top w:val="none" w:sz="0" w:space="0" w:color="auto"/>
            <w:left w:val="none" w:sz="0" w:space="0" w:color="auto"/>
            <w:bottom w:val="none" w:sz="0" w:space="0" w:color="auto"/>
            <w:right w:val="none" w:sz="0" w:space="0" w:color="auto"/>
          </w:divBdr>
          <w:divsChild>
            <w:div w:id="133446631">
              <w:marLeft w:val="0"/>
              <w:marRight w:val="0"/>
              <w:marTop w:val="0"/>
              <w:marBottom w:val="0"/>
              <w:divBdr>
                <w:top w:val="none" w:sz="0" w:space="0" w:color="auto"/>
                <w:left w:val="none" w:sz="0" w:space="0" w:color="auto"/>
                <w:bottom w:val="none" w:sz="0" w:space="0" w:color="auto"/>
                <w:right w:val="none" w:sz="0" w:space="0" w:color="auto"/>
              </w:divBdr>
              <w:divsChild>
                <w:div w:id="13524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1513">
      <w:bodyDiv w:val="1"/>
      <w:marLeft w:val="0"/>
      <w:marRight w:val="0"/>
      <w:marTop w:val="0"/>
      <w:marBottom w:val="0"/>
      <w:divBdr>
        <w:top w:val="none" w:sz="0" w:space="0" w:color="auto"/>
        <w:left w:val="none" w:sz="0" w:space="0" w:color="auto"/>
        <w:bottom w:val="none" w:sz="0" w:space="0" w:color="auto"/>
        <w:right w:val="none" w:sz="0" w:space="0" w:color="auto"/>
      </w:divBdr>
      <w:divsChild>
        <w:div w:id="1686128174">
          <w:marLeft w:val="0"/>
          <w:marRight w:val="0"/>
          <w:marTop w:val="0"/>
          <w:marBottom w:val="0"/>
          <w:divBdr>
            <w:top w:val="none" w:sz="0" w:space="0" w:color="auto"/>
            <w:left w:val="none" w:sz="0" w:space="0" w:color="auto"/>
            <w:bottom w:val="none" w:sz="0" w:space="0" w:color="auto"/>
            <w:right w:val="none" w:sz="0" w:space="0" w:color="auto"/>
          </w:divBdr>
          <w:divsChild>
            <w:div w:id="1597857981">
              <w:marLeft w:val="0"/>
              <w:marRight w:val="0"/>
              <w:marTop w:val="0"/>
              <w:marBottom w:val="0"/>
              <w:divBdr>
                <w:top w:val="none" w:sz="0" w:space="0" w:color="auto"/>
                <w:left w:val="none" w:sz="0" w:space="0" w:color="auto"/>
                <w:bottom w:val="none" w:sz="0" w:space="0" w:color="auto"/>
                <w:right w:val="none" w:sz="0" w:space="0" w:color="auto"/>
              </w:divBdr>
              <w:divsChild>
                <w:div w:id="1637369940">
                  <w:marLeft w:val="0"/>
                  <w:marRight w:val="0"/>
                  <w:marTop w:val="0"/>
                  <w:marBottom w:val="0"/>
                  <w:divBdr>
                    <w:top w:val="none" w:sz="0" w:space="0" w:color="auto"/>
                    <w:left w:val="none" w:sz="0" w:space="0" w:color="auto"/>
                    <w:bottom w:val="none" w:sz="0" w:space="0" w:color="auto"/>
                    <w:right w:val="none" w:sz="0" w:space="0" w:color="auto"/>
                  </w:divBdr>
                  <w:divsChild>
                    <w:div w:id="20026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7444">
      <w:bodyDiv w:val="1"/>
      <w:marLeft w:val="0"/>
      <w:marRight w:val="0"/>
      <w:marTop w:val="0"/>
      <w:marBottom w:val="0"/>
      <w:divBdr>
        <w:top w:val="none" w:sz="0" w:space="0" w:color="auto"/>
        <w:left w:val="none" w:sz="0" w:space="0" w:color="auto"/>
        <w:bottom w:val="none" w:sz="0" w:space="0" w:color="auto"/>
        <w:right w:val="none" w:sz="0" w:space="0" w:color="auto"/>
      </w:divBdr>
      <w:divsChild>
        <w:div w:id="431822512">
          <w:marLeft w:val="0"/>
          <w:marRight w:val="0"/>
          <w:marTop w:val="0"/>
          <w:marBottom w:val="0"/>
          <w:divBdr>
            <w:top w:val="none" w:sz="0" w:space="0" w:color="auto"/>
            <w:left w:val="none" w:sz="0" w:space="0" w:color="auto"/>
            <w:bottom w:val="none" w:sz="0" w:space="0" w:color="auto"/>
            <w:right w:val="none" w:sz="0" w:space="0" w:color="auto"/>
          </w:divBdr>
          <w:divsChild>
            <w:div w:id="315694513">
              <w:marLeft w:val="0"/>
              <w:marRight w:val="0"/>
              <w:marTop w:val="0"/>
              <w:marBottom w:val="0"/>
              <w:divBdr>
                <w:top w:val="none" w:sz="0" w:space="0" w:color="auto"/>
                <w:left w:val="none" w:sz="0" w:space="0" w:color="auto"/>
                <w:bottom w:val="none" w:sz="0" w:space="0" w:color="auto"/>
                <w:right w:val="none" w:sz="0" w:space="0" w:color="auto"/>
              </w:divBdr>
              <w:divsChild>
                <w:div w:id="262954531">
                  <w:marLeft w:val="0"/>
                  <w:marRight w:val="0"/>
                  <w:marTop w:val="0"/>
                  <w:marBottom w:val="0"/>
                  <w:divBdr>
                    <w:top w:val="none" w:sz="0" w:space="0" w:color="auto"/>
                    <w:left w:val="none" w:sz="0" w:space="0" w:color="auto"/>
                    <w:bottom w:val="none" w:sz="0" w:space="0" w:color="auto"/>
                    <w:right w:val="none" w:sz="0" w:space="0" w:color="auto"/>
                  </w:divBdr>
                  <w:divsChild>
                    <w:div w:id="1432119404">
                      <w:marLeft w:val="150"/>
                      <w:marRight w:val="0"/>
                      <w:marTop w:val="0"/>
                      <w:marBottom w:val="0"/>
                      <w:divBdr>
                        <w:top w:val="none" w:sz="0" w:space="0" w:color="auto"/>
                        <w:left w:val="none" w:sz="0" w:space="0" w:color="auto"/>
                        <w:bottom w:val="none" w:sz="0" w:space="0" w:color="auto"/>
                        <w:right w:val="none" w:sz="0" w:space="0" w:color="auto"/>
                      </w:divBdr>
                      <w:divsChild>
                        <w:div w:id="1411348117">
                          <w:marLeft w:val="0"/>
                          <w:marRight w:val="0"/>
                          <w:marTop w:val="0"/>
                          <w:marBottom w:val="150"/>
                          <w:divBdr>
                            <w:top w:val="none" w:sz="0" w:space="0" w:color="auto"/>
                            <w:left w:val="none" w:sz="0" w:space="0" w:color="auto"/>
                            <w:bottom w:val="none" w:sz="0" w:space="0" w:color="auto"/>
                            <w:right w:val="none" w:sz="0" w:space="0" w:color="auto"/>
                          </w:divBdr>
                          <w:divsChild>
                            <w:div w:id="809597856">
                              <w:marLeft w:val="0"/>
                              <w:marRight w:val="0"/>
                              <w:marTop w:val="0"/>
                              <w:marBottom w:val="0"/>
                              <w:divBdr>
                                <w:top w:val="none" w:sz="0" w:space="0" w:color="auto"/>
                                <w:left w:val="none" w:sz="0" w:space="0" w:color="auto"/>
                                <w:bottom w:val="none" w:sz="0" w:space="0" w:color="auto"/>
                                <w:right w:val="none" w:sz="0" w:space="0" w:color="auto"/>
                              </w:divBdr>
                              <w:divsChild>
                                <w:div w:id="1380784471">
                                  <w:marLeft w:val="0"/>
                                  <w:marRight w:val="0"/>
                                  <w:marTop w:val="0"/>
                                  <w:marBottom w:val="0"/>
                                  <w:divBdr>
                                    <w:top w:val="none" w:sz="0" w:space="0" w:color="auto"/>
                                    <w:left w:val="none" w:sz="0" w:space="0" w:color="auto"/>
                                    <w:bottom w:val="none" w:sz="0" w:space="0" w:color="auto"/>
                                    <w:right w:val="none" w:sz="0" w:space="0" w:color="auto"/>
                                  </w:divBdr>
                                  <w:divsChild>
                                    <w:div w:id="6646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5999">
      <w:bodyDiv w:val="1"/>
      <w:marLeft w:val="0"/>
      <w:marRight w:val="0"/>
      <w:marTop w:val="0"/>
      <w:marBottom w:val="0"/>
      <w:divBdr>
        <w:top w:val="none" w:sz="0" w:space="0" w:color="auto"/>
        <w:left w:val="none" w:sz="0" w:space="0" w:color="auto"/>
        <w:bottom w:val="none" w:sz="0" w:space="0" w:color="auto"/>
        <w:right w:val="none" w:sz="0" w:space="0" w:color="auto"/>
      </w:divBdr>
      <w:divsChild>
        <w:div w:id="855342442">
          <w:marLeft w:val="0"/>
          <w:marRight w:val="0"/>
          <w:marTop w:val="0"/>
          <w:marBottom w:val="0"/>
          <w:divBdr>
            <w:top w:val="none" w:sz="0" w:space="0" w:color="auto"/>
            <w:left w:val="none" w:sz="0" w:space="0" w:color="auto"/>
            <w:bottom w:val="none" w:sz="0" w:space="0" w:color="auto"/>
            <w:right w:val="none" w:sz="0" w:space="0" w:color="auto"/>
          </w:divBdr>
          <w:divsChild>
            <w:div w:id="388455989">
              <w:marLeft w:val="0"/>
              <w:marRight w:val="0"/>
              <w:marTop w:val="0"/>
              <w:marBottom w:val="0"/>
              <w:divBdr>
                <w:top w:val="none" w:sz="0" w:space="0" w:color="auto"/>
                <w:left w:val="none" w:sz="0" w:space="0" w:color="auto"/>
                <w:bottom w:val="none" w:sz="0" w:space="0" w:color="auto"/>
                <w:right w:val="single" w:sz="6" w:space="2" w:color="DFDFDF"/>
              </w:divBdr>
              <w:divsChild>
                <w:div w:id="2068920097">
                  <w:marLeft w:val="0"/>
                  <w:marRight w:val="0"/>
                  <w:marTop w:val="150"/>
                  <w:marBottom w:val="150"/>
                  <w:divBdr>
                    <w:top w:val="single" w:sz="6" w:space="8"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eader" Target="header12.xml"/><Relationship Id="rId30" Type="http://schemas.openxmlformats.org/officeDocument/2006/relationships/image" Target="media/image8.pn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AE28-6E00-45F6-9B6E-2EAB9BF4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2284</Words>
  <Characters>13021</Characters>
  <Application>Microsoft Office Word</Application>
  <DocSecurity>0</DocSecurity>
  <Lines>108</Lines>
  <Paragraphs>30</Paragraphs>
  <ScaleCrop>false</ScaleCrop>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wency guo</dc:creator>
  <cp:keywords/>
  <dc:description/>
  <cp:lastModifiedBy>Windows 用户</cp:lastModifiedBy>
  <cp:revision>2</cp:revision>
  <dcterms:created xsi:type="dcterms:W3CDTF">2018-02-07T05:28:00Z</dcterms:created>
  <dcterms:modified xsi:type="dcterms:W3CDTF">2018-02-07T05:28:00Z</dcterms:modified>
</cp:coreProperties>
</file>